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5" w:rsidRDefault="002E4581">
      <w:pPr>
        <w:pStyle w:val="Heading1"/>
        <w:spacing w:before="60"/>
      </w:pPr>
      <w:bookmarkStart w:id="0" w:name="_GoBack"/>
      <w:bookmarkEnd w:id="0"/>
      <w:r>
        <w:t>LIGJ</w:t>
      </w:r>
      <w:r>
        <w:rPr>
          <w:spacing w:val="59"/>
        </w:rPr>
        <w:t xml:space="preserve"> </w:t>
      </w:r>
      <w:r>
        <w:t>Nr.9635,</w:t>
      </w:r>
    </w:p>
    <w:p w:rsidR="00D671E5" w:rsidRDefault="00D671E5">
      <w:pPr>
        <w:pStyle w:val="BodyText"/>
        <w:spacing w:before="3"/>
        <w:rPr>
          <w:b/>
        </w:rPr>
      </w:pPr>
    </w:p>
    <w:p w:rsidR="00D671E5" w:rsidRDefault="002E4581">
      <w:pPr>
        <w:spacing w:before="1"/>
        <w:ind w:left="120"/>
        <w:rPr>
          <w:b/>
          <w:sz w:val="24"/>
        </w:rPr>
      </w:pPr>
      <w:r>
        <w:rPr>
          <w:b/>
          <w:sz w:val="24"/>
        </w:rPr>
        <w:t>datë 6.11.2006</w:t>
      </w:r>
    </w:p>
    <w:p w:rsidR="00D671E5" w:rsidRDefault="00D671E5">
      <w:pPr>
        <w:pStyle w:val="BodyText"/>
        <w:spacing w:before="1"/>
        <w:rPr>
          <w:b/>
        </w:rPr>
      </w:pPr>
    </w:p>
    <w:p w:rsidR="00D671E5" w:rsidRDefault="002E4581">
      <w:pPr>
        <w:pStyle w:val="BodyText"/>
        <w:ind w:left="120" w:right="146"/>
      </w:pPr>
      <w:r>
        <w:t>PËR DISA SHTESA DHE NDRYSHIME NË LIGJIN NR.7643, DATË 2.12.1992 “PËR INSPEKTORATIN SANITAR SHTETËROR”</w:t>
      </w:r>
    </w:p>
    <w:p w:rsidR="00D671E5" w:rsidRDefault="00D671E5">
      <w:pPr>
        <w:pStyle w:val="BodyText"/>
        <w:spacing w:before="3"/>
      </w:pPr>
    </w:p>
    <w:p w:rsidR="00D671E5" w:rsidRDefault="002E4581">
      <w:pPr>
        <w:pStyle w:val="BodyText"/>
        <w:spacing w:before="1"/>
        <w:ind w:left="120" w:right="415"/>
      </w:pPr>
      <w:r>
        <w:t>Në mbështetje të neneve 78 dhe 83 pika 1 të Kushtetutës, me propozimin e Këshillit të Ministrave,</w:t>
      </w:r>
    </w:p>
    <w:p w:rsidR="00D671E5" w:rsidRDefault="00D671E5">
      <w:pPr>
        <w:pStyle w:val="BodyText"/>
        <w:spacing w:before="7"/>
      </w:pPr>
    </w:p>
    <w:p w:rsidR="00D671E5" w:rsidRDefault="002E4581">
      <w:pPr>
        <w:pStyle w:val="Heading1"/>
        <w:spacing w:before="0"/>
      </w:pPr>
      <w:r>
        <w:t>KUVENDI I REPUBLIKËS SË SHQIPËRISË</w:t>
      </w:r>
    </w:p>
    <w:p w:rsidR="00D671E5" w:rsidRDefault="00D671E5">
      <w:pPr>
        <w:pStyle w:val="BodyText"/>
        <w:spacing w:before="7"/>
        <w:rPr>
          <w:b/>
          <w:sz w:val="16"/>
        </w:rPr>
      </w:pPr>
    </w:p>
    <w:p w:rsidR="00D671E5" w:rsidRDefault="002E4581">
      <w:pPr>
        <w:spacing w:before="90"/>
        <w:ind w:left="120"/>
        <w:rPr>
          <w:b/>
          <w:sz w:val="24"/>
        </w:rPr>
      </w:pPr>
      <w:r>
        <w:rPr>
          <w:b/>
          <w:sz w:val="24"/>
        </w:rPr>
        <w:t>VENDOSI:</w:t>
      </w:r>
    </w:p>
    <w:p w:rsidR="00D671E5" w:rsidRDefault="00D671E5">
      <w:pPr>
        <w:pStyle w:val="BodyText"/>
        <w:spacing w:before="2"/>
        <w:rPr>
          <w:b/>
          <w:sz w:val="16"/>
        </w:rPr>
      </w:pPr>
    </w:p>
    <w:p w:rsidR="00D671E5" w:rsidRDefault="002E4581">
      <w:pPr>
        <w:pStyle w:val="BodyText"/>
        <w:spacing w:before="90"/>
        <w:ind w:left="120" w:right="122"/>
      </w:pPr>
      <w:r>
        <w:t>Në ligjin nr.7643, datë 2.12.1992 “Për Inspektoratin Sanitar Shtetëror”, bëhen këto shtesa e</w:t>
      </w:r>
      <w:r>
        <w:rPr>
          <w:spacing w:val="59"/>
        </w:rPr>
        <w:t xml:space="preserve"> </w:t>
      </w:r>
      <w:r>
        <w:t>ndryshime:</w:t>
      </w:r>
    </w:p>
    <w:p w:rsidR="00D671E5" w:rsidRDefault="00D671E5">
      <w:pPr>
        <w:pStyle w:val="BodyText"/>
        <w:rPr>
          <w:sz w:val="20"/>
        </w:rPr>
      </w:pPr>
    </w:p>
    <w:p w:rsidR="00D671E5" w:rsidRDefault="00D671E5">
      <w:pPr>
        <w:pStyle w:val="BodyText"/>
        <w:spacing w:before="9"/>
        <w:rPr>
          <w:sz w:val="20"/>
        </w:rPr>
      </w:pPr>
    </w:p>
    <w:p w:rsidR="00D671E5" w:rsidRDefault="002E4581">
      <w:pPr>
        <w:pStyle w:val="Heading1"/>
      </w:pPr>
      <w:r>
        <w:t>Neni 1</w:t>
      </w:r>
    </w:p>
    <w:p w:rsidR="00D671E5" w:rsidRDefault="00D671E5">
      <w:pPr>
        <w:pStyle w:val="BodyText"/>
        <w:spacing w:before="2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Titulli i ligjit ndryshohet si më poshtë:</w:t>
      </w:r>
    </w:p>
    <w:p w:rsidR="00D671E5" w:rsidRDefault="002E4581">
      <w:pPr>
        <w:pStyle w:val="BodyText"/>
        <w:spacing w:before="1"/>
        <w:ind w:left="120"/>
      </w:pPr>
      <w:r>
        <w:t>“Për shëndetin publik dhe Inspektoratin Sanitar Shtetëror”.</w:t>
      </w:r>
    </w:p>
    <w:p w:rsidR="00D671E5" w:rsidRDefault="00D671E5">
      <w:pPr>
        <w:pStyle w:val="BodyText"/>
        <w:spacing w:before="10"/>
        <w:rPr>
          <w:sz w:val="16"/>
        </w:rPr>
      </w:pPr>
    </w:p>
    <w:p w:rsidR="00D671E5" w:rsidRDefault="002E4581">
      <w:pPr>
        <w:pStyle w:val="Heading1"/>
      </w:pPr>
      <w:r>
        <w:t>Neni 2</w:t>
      </w:r>
    </w:p>
    <w:p w:rsidR="00D671E5" w:rsidRDefault="00D671E5">
      <w:pPr>
        <w:pStyle w:val="BodyText"/>
        <w:spacing w:before="3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Neni 1 ndryshohet si më poshtë:</w:t>
      </w:r>
    </w:p>
    <w:p w:rsidR="00D671E5" w:rsidRDefault="00D671E5">
      <w:pPr>
        <w:pStyle w:val="BodyText"/>
        <w:spacing w:before="8"/>
        <w:rPr>
          <w:sz w:val="16"/>
        </w:rPr>
      </w:pPr>
    </w:p>
    <w:p w:rsidR="00D671E5" w:rsidRDefault="002E4581">
      <w:pPr>
        <w:pStyle w:val="Heading1"/>
        <w:ind w:left="119"/>
      </w:pPr>
      <w:r>
        <w:t>“Neni 1</w:t>
      </w:r>
    </w:p>
    <w:p w:rsidR="00D671E5" w:rsidRDefault="00D671E5">
      <w:pPr>
        <w:pStyle w:val="BodyText"/>
        <w:spacing w:before="3"/>
        <w:rPr>
          <w:b/>
          <w:sz w:val="16"/>
        </w:rPr>
      </w:pPr>
    </w:p>
    <w:p w:rsidR="00D671E5" w:rsidRDefault="002E4581">
      <w:pPr>
        <w:pStyle w:val="BodyText"/>
        <w:spacing w:before="90"/>
        <w:ind w:left="120" w:right="82"/>
      </w:pPr>
      <w:r>
        <w:t>Në Ministrinë e Shëndetësisë është organizuar dhe funksionon Inspektorati Sanitar Shtetëror, si organi më i lartë i kontrollit sanitar. Inspektor</w:t>
      </w:r>
      <w:r>
        <w:t>ati përbëhet nga Kryeinspektori Sanitar i Republikës dhe inspektorët.”</w:t>
      </w:r>
    </w:p>
    <w:p w:rsidR="00D671E5" w:rsidRDefault="00D671E5">
      <w:pPr>
        <w:pStyle w:val="BodyText"/>
        <w:spacing w:before="9"/>
        <w:rPr>
          <w:sz w:val="16"/>
        </w:rPr>
      </w:pPr>
    </w:p>
    <w:p w:rsidR="00D671E5" w:rsidRDefault="002E4581">
      <w:pPr>
        <w:pStyle w:val="Heading1"/>
        <w:ind w:left="119"/>
      </w:pPr>
      <w:r>
        <w:t>Neni 3</w:t>
      </w:r>
    </w:p>
    <w:p w:rsidR="00D671E5" w:rsidRDefault="00D671E5">
      <w:pPr>
        <w:pStyle w:val="BodyText"/>
        <w:spacing w:before="4"/>
        <w:rPr>
          <w:b/>
          <w:sz w:val="16"/>
        </w:rPr>
      </w:pPr>
    </w:p>
    <w:p w:rsidR="00D671E5" w:rsidRDefault="002E4581">
      <w:pPr>
        <w:pStyle w:val="BodyText"/>
        <w:spacing w:before="90"/>
        <w:ind w:left="119"/>
      </w:pPr>
      <w:r>
        <w:t>Pas nenit 1 të kreut I shtohet neni 1/1 me këtë përmbajtje:</w:t>
      </w:r>
    </w:p>
    <w:p w:rsidR="00D671E5" w:rsidRDefault="00D671E5">
      <w:pPr>
        <w:pStyle w:val="BodyText"/>
        <w:spacing w:before="9"/>
        <w:rPr>
          <w:sz w:val="16"/>
        </w:rPr>
      </w:pPr>
    </w:p>
    <w:p w:rsidR="00D671E5" w:rsidRDefault="002E4581">
      <w:pPr>
        <w:pStyle w:val="Heading1"/>
      </w:pPr>
      <w:r>
        <w:t>“Neni 1/1</w:t>
      </w:r>
    </w:p>
    <w:p w:rsidR="00D671E5" w:rsidRDefault="00D671E5">
      <w:pPr>
        <w:pStyle w:val="BodyText"/>
        <w:spacing w:before="3"/>
        <w:rPr>
          <w:b/>
          <w:sz w:val="16"/>
        </w:rPr>
      </w:pPr>
    </w:p>
    <w:p w:rsidR="00D671E5" w:rsidRDefault="002E4581">
      <w:pPr>
        <w:pStyle w:val="BodyText"/>
        <w:spacing w:before="90"/>
        <w:ind w:left="119"/>
      </w:pPr>
      <w:r>
        <w:t>Në këtë ligj, termat e mëposhtëm kanë këto kuptime:</w:t>
      </w:r>
    </w:p>
    <w:p w:rsidR="00D671E5" w:rsidRDefault="00D671E5">
      <w:pPr>
        <w:pStyle w:val="BodyText"/>
        <w:spacing w:before="5"/>
        <w:rPr>
          <w:sz w:val="16"/>
        </w:rPr>
      </w:pPr>
    </w:p>
    <w:p w:rsidR="00D671E5" w:rsidRDefault="002E4581">
      <w:pPr>
        <w:pStyle w:val="ListParagraph"/>
        <w:numPr>
          <w:ilvl w:val="0"/>
          <w:numId w:val="4"/>
        </w:numPr>
        <w:tabs>
          <w:tab w:val="left" w:pos="361"/>
        </w:tabs>
        <w:spacing w:before="89"/>
        <w:ind w:right="167" w:firstLine="0"/>
        <w:rPr>
          <w:sz w:val="24"/>
        </w:rPr>
      </w:pPr>
      <w:r>
        <w:rPr>
          <w:sz w:val="24"/>
        </w:rPr>
        <w:t>“Shëndeti publik” është shkenca dhe arti i parandal</w:t>
      </w:r>
      <w:r>
        <w:rPr>
          <w:sz w:val="24"/>
        </w:rPr>
        <w:t>imit të sëmundjes, zgjatjes së jetës, promocionit të shëndetit mendor e fizik dhe efiçencës, përmes përpjekjeve të organizuara të shoqërisë. Shëndeti publik është një koncept shoqëror dhe politik, që synon përmirësimin e shëndetit, zgjatjen e jetës dhe për</w:t>
      </w:r>
      <w:r>
        <w:rPr>
          <w:sz w:val="24"/>
        </w:rPr>
        <w:t>mirësimin e cilësisë së jetës për të</w:t>
      </w:r>
      <w:r>
        <w:rPr>
          <w:spacing w:val="-25"/>
          <w:sz w:val="24"/>
        </w:rPr>
        <w:t xml:space="preserve"> </w:t>
      </w:r>
      <w:r>
        <w:rPr>
          <w:sz w:val="24"/>
        </w:rPr>
        <w:t>gjithë</w:t>
      </w:r>
    </w:p>
    <w:p w:rsidR="00D671E5" w:rsidRDefault="00D671E5">
      <w:pPr>
        <w:rPr>
          <w:sz w:val="24"/>
        </w:rPr>
        <w:sectPr w:rsidR="00D671E5">
          <w:type w:val="continuous"/>
          <w:pgSz w:w="12240" w:h="15840"/>
          <w:pgMar w:top="1380" w:right="1700" w:bottom="280" w:left="1680" w:header="720" w:footer="720" w:gutter="0"/>
          <w:cols w:space="720"/>
        </w:sectPr>
      </w:pPr>
    </w:p>
    <w:p w:rsidR="00D671E5" w:rsidRDefault="002E4581">
      <w:pPr>
        <w:pStyle w:val="BodyText"/>
        <w:spacing w:before="76"/>
        <w:ind w:left="120" w:right="682"/>
      </w:pPr>
      <w:r>
        <w:lastRenderedPageBreak/>
        <w:t>popullsinë, përmes promocionit, parandalimit të sëmundjeve dhe formave të tjera të ndërhyrjeve shëndetësore.</w:t>
      </w:r>
    </w:p>
    <w:p w:rsidR="00D671E5" w:rsidRDefault="00D671E5">
      <w:pPr>
        <w:pStyle w:val="BodyText"/>
        <w:spacing w:before="4"/>
      </w:pPr>
    </w:p>
    <w:p w:rsidR="00D671E5" w:rsidRDefault="002E4581">
      <w:pPr>
        <w:pStyle w:val="ListParagraph"/>
        <w:numPr>
          <w:ilvl w:val="0"/>
          <w:numId w:val="4"/>
        </w:numPr>
        <w:tabs>
          <w:tab w:val="left" w:pos="360"/>
        </w:tabs>
        <w:ind w:right="195" w:firstLine="0"/>
        <w:rPr>
          <w:sz w:val="24"/>
        </w:rPr>
      </w:pPr>
      <w:r>
        <w:rPr>
          <w:sz w:val="24"/>
        </w:rPr>
        <w:t>“Shëndeti mjedisor” përmbledh aspektet e shëndetit publik, që paracaktohen nga mjedisi. Ai përfshin efektet e drejtpërdrejta në shëndet nga faktorët mjedisorë, si</w:t>
      </w:r>
      <w:r>
        <w:rPr>
          <w:spacing w:val="-29"/>
          <w:sz w:val="24"/>
        </w:rPr>
        <w:t xml:space="preserve"> </w:t>
      </w:r>
      <w:r>
        <w:rPr>
          <w:sz w:val="24"/>
        </w:rPr>
        <w:t>agjentët fizikë, kimikë dhe biologjikë dhe efektet e tërthorta në shëndet dhe në mirëqenie ng</w:t>
      </w:r>
      <w:r>
        <w:rPr>
          <w:sz w:val="24"/>
        </w:rPr>
        <w:t>a faktorët psikosocialë, ku përfshihen: strehimi, zhvillimi urban, përdorimi i tokës dhe transporti.</w:t>
      </w:r>
    </w:p>
    <w:p w:rsidR="00D671E5" w:rsidRDefault="002E4581">
      <w:pPr>
        <w:pStyle w:val="ListParagraph"/>
        <w:numPr>
          <w:ilvl w:val="0"/>
          <w:numId w:val="4"/>
        </w:numPr>
        <w:tabs>
          <w:tab w:val="left" w:pos="360"/>
        </w:tabs>
        <w:ind w:right="132" w:firstLine="0"/>
        <w:rPr>
          <w:sz w:val="24"/>
        </w:rPr>
      </w:pPr>
      <w:r>
        <w:rPr>
          <w:sz w:val="24"/>
        </w:rPr>
        <w:t>“Zinxhiri ushqimor” përfshin të gjithë sistemin e prodhimit ushqimor, duke filluar që nga vendi i prodhimit të produktit ushqimor të papërpunuar deri te ko</w:t>
      </w:r>
      <w:r>
        <w:rPr>
          <w:sz w:val="24"/>
        </w:rPr>
        <w:t>nsumatori, përfshirë këtu edhe përpunimin e tij, i cili, me fjalë më të përgjithshme, përshkruhet “nga ferma në tryezë”.</w:t>
      </w:r>
    </w:p>
    <w:p w:rsidR="00D671E5" w:rsidRDefault="002E4581">
      <w:pPr>
        <w:pStyle w:val="ListParagraph"/>
        <w:numPr>
          <w:ilvl w:val="0"/>
          <w:numId w:val="4"/>
        </w:numPr>
        <w:tabs>
          <w:tab w:val="left" w:pos="360"/>
        </w:tabs>
        <w:ind w:left="119" w:right="327" w:firstLine="0"/>
        <w:rPr>
          <w:sz w:val="24"/>
        </w:rPr>
      </w:pPr>
      <w:r>
        <w:rPr>
          <w:sz w:val="24"/>
        </w:rPr>
        <w:t>“Siguria ushqimore” është funksionimi i një sistemi gjithpërfshirës të aktorëve të ndryshëm dhe marrja e masave për realizimin dhe arri</w:t>
      </w:r>
      <w:r>
        <w:rPr>
          <w:sz w:val="24"/>
        </w:rPr>
        <w:t>tjen e qëllimit, për prodhimin dhe tregtimin e një ushqimi, që është i sigurt dhe i përshtatshëm për</w:t>
      </w:r>
      <w:r>
        <w:rPr>
          <w:spacing w:val="-9"/>
          <w:sz w:val="24"/>
        </w:rPr>
        <w:t xml:space="preserve"> </w:t>
      </w:r>
      <w:r>
        <w:rPr>
          <w:sz w:val="24"/>
        </w:rPr>
        <w:t>konsum.</w:t>
      </w:r>
    </w:p>
    <w:p w:rsidR="00D671E5" w:rsidRDefault="002E4581">
      <w:pPr>
        <w:pStyle w:val="ListParagraph"/>
        <w:numPr>
          <w:ilvl w:val="0"/>
          <w:numId w:val="4"/>
        </w:numPr>
        <w:tabs>
          <w:tab w:val="left" w:pos="361"/>
        </w:tabs>
        <w:ind w:left="119" w:right="220" w:firstLine="0"/>
        <w:rPr>
          <w:sz w:val="24"/>
        </w:rPr>
      </w:pPr>
      <w:r>
        <w:rPr>
          <w:sz w:val="24"/>
        </w:rPr>
        <w:t>“Hazard/dëmtues” janë të gjitha lëndët e rrezikshme, që mund të gjenden ose të shtohen përgjatë zinxhirit ushqimor, qofshin ato me natyrë fizike, k</w:t>
      </w:r>
      <w:r>
        <w:rPr>
          <w:sz w:val="24"/>
        </w:rPr>
        <w:t>imike apo</w:t>
      </w:r>
      <w:r>
        <w:rPr>
          <w:spacing w:val="-17"/>
          <w:sz w:val="24"/>
        </w:rPr>
        <w:t xml:space="preserve"> </w:t>
      </w:r>
      <w:r>
        <w:rPr>
          <w:sz w:val="24"/>
        </w:rPr>
        <w:t>biologjike.</w:t>
      </w:r>
    </w:p>
    <w:p w:rsidR="00D671E5" w:rsidRDefault="002E4581">
      <w:pPr>
        <w:pStyle w:val="ListParagraph"/>
        <w:numPr>
          <w:ilvl w:val="0"/>
          <w:numId w:val="4"/>
        </w:numPr>
        <w:tabs>
          <w:tab w:val="left" w:pos="361"/>
        </w:tabs>
        <w:ind w:left="119" w:right="480" w:firstLine="0"/>
        <w:rPr>
          <w:sz w:val="24"/>
        </w:rPr>
      </w:pPr>
      <w:r>
        <w:rPr>
          <w:sz w:val="24"/>
        </w:rPr>
        <w:t>“AZKPK (HACCP)” është sistemi që përfshin analizën e hazardëve/dëmtuesve dhe kontrollin në pikat kritike, i rekomanduar për të mundësuar sigurinë ushqimore. Në të përfshihen parime të përgjithshme për kontrolle thelbësore, me qëllim sigurimin e ushqimeve t</w:t>
      </w:r>
      <w:r>
        <w:rPr>
          <w:sz w:val="24"/>
        </w:rPr>
        <w:t>ë sigurta për</w:t>
      </w:r>
      <w:r>
        <w:rPr>
          <w:spacing w:val="-2"/>
          <w:sz w:val="24"/>
        </w:rPr>
        <w:t xml:space="preserve"> </w:t>
      </w:r>
      <w:r>
        <w:rPr>
          <w:sz w:val="24"/>
        </w:rPr>
        <w:t>konsum.</w:t>
      </w:r>
    </w:p>
    <w:p w:rsidR="00D671E5" w:rsidRDefault="002E4581">
      <w:pPr>
        <w:pStyle w:val="ListParagraph"/>
        <w:numPr>
          <w:ilvl w:val="0"/>
          <w:numId w:val="4"/>
        </w:numPr>
        <w:tabs>
          <w:tab w:val="left" w:pos="360"/>
        </w:tabs>
        <w:spacing w:before="1"/>
        <w:ind w:right="167" w:firstLine="0"/>
        <w:rPr>
          <w:sz w:val="24"/>
        </w:rPr>
      </w:pPr>
      <w:r>
        <w:rPr>
          <w:sz w:val="24"/>
        </w:rPr>
        <w:t>“Mjekësia e punës” përfshin të gjitha masat komplekse që duhet të promovohen, për të mbajtur në një nivel të lartë mirëqenien fizike, mendore dhe sociale të punëmarrësve në të gjitha veprimtaritë</w:t>
      </w:r>
      <w:r>
        <w:rPr>
          <w:spacing w:val="-2"/>
          <w:sz w:val="24"/>
        </w:rPr>
        <w:t xml:space="preserve"> </w:t>
      </w:r>
      <w:r>
        <w:rPr>
          <w:sz w:val="24"/>
        </w:rPr>
        <w:t>prodhuese.</w:t>
      </w:r>
    </w:p>
    <w:p w:rsidR="00D671E5" w:rsidRDefault="002E4581">
      <w:pPr>
        <w:pStyle w:val="ListParagraph"/>
        <w:numPr>
          <w:ilvl w:val="0"/>
          <w:numId w:val="4"/>
        </w:numPr>
        <w:tabs>
          <w:tab w:val="left" w:pos="360"/>
        </w:tabs>
        <w:ind w:right="282" w:firstLine="0"/>
        <w:rPr>
          <w:sz w:val="24"/>
        </w:rPr>
      </w:pPr>
      <w:r>
        <w:rPr>
          <w:sz w:val="24"/>
        </w:rPr>
        <w:t>“Treguesit e shëndetit mjed</w:t>
      </w:r>
      <w:r>
        <w:rPr>
          <w:sz w:val="24"/>
        </w:rPr>
        <w:t>isor” janë mbledhja dhe përpunimi në grup i të dhënave</w:t>
      </w:r>
      <w:r>
        <w:rPr>
          <w:spacing w:val="-16"/>
          <w:sz w:val="24"/>
        </w:rPr>
        <w:t xml:space="preserve"> </w:t>
      </w:r>
      <w:r>
        <w:rPr>
          <w:sz w:val="24"/>
        </w:rPr>
        <w:t>të zakonshme nga sektorë të ndryshëm, në ndihmë të vlerësimit të gjendjes së shëndetit, të ndikuar, në mënyrë të drejtpërdrejtë ose të tërthortë, nga faktorët mjedisorë, fizikë, kimikë, biokimikë, biol</w:t>
      </w:r>
      <w:r>
        <w:rPr>
          <w:sz w:val="24"/>
        </w:rPr>
        <w:t>ogjikë e</w:t>
      </w:r>
      <w:r>
        <w:rPr>
          <w:spacing w:val="-1"/>
          <w:sz w:val="24"/>
        </w:rPr>
        <w:t xml:space="preserve"> </w:t>
      </w:r>
      <w:r>
        <w:rPr>
          <w:sz w:val="24"/>
        </w:rPr>
        <w:t>psikosocialë.</w:t>
      </w:r>
    </w:p>
    <w:p w:rsidR="00D671E5" w:rsidRDefault="002E4581">
      <w:pPr>
        <w:pStyle w:val="ListParagraph"/>
        <w:numPr>
          <w:ilvl w:val="0"/>
          <w:numId w:val="4"/>
        </w:numPr>
        <w:tabs>
          <w:tab w:val="left" w:pos="361"/>
        </w:tabs>
        <w:ind w:right="301" w:firstLine="0"/>
        <w:rPr>
          <w:sz w:val="24"/>
        </w:rPr>
      </w:pPr>
      <w:r>
        <w:rPr>
          <w:sz w:val="24"/>
        </w:rPr>
        <w:t>“Vlerësimi i ndikimit në mjedis dhe shëndet” përmbledh vlerësimin e rrezikut në shëndet nga ekspozimi ndaj ndotësve të ndryshëm dhe përcaktimin e lidhjes që</w:t>
      </w:r>
      <w:r>
        <w:rPr>
          <w:spacing w:val="-16"/>
          <w:sz w:val="24"/>
        </w:rPr>
        <w:t xml:space="preserve"> </w:t>
      </w:r>
      <w:r>
        <w:rPr>
          <w:sz w:val="24"/>
        </w:rPr>
        <w:t>ekziston ndërmjet ekspozimit ndaj agjentit dhe rrezikut që shkakton në</w:t>
      </w:r>
      <w:r>
        <w:rPr>
          <w:spacing w:val="-4"/>
          <w:sz w:val="24"/>
        </w:rPr>
        <w:t xml:space="preserve"> </w:t>
      </w:r>
      <w:r>
        <w:rPr>
          <w:sz w:val="24"/>
        </w:rPr>
        <w:t>shëndet.”</w:t>
      </w:r>
    </w:p>
    <w:p w:rsidR="00D671E5" w:rsidRDefault="00D671E5">
      <w:pPr>
        <w:pStyle w:val="BodyText"/>
        <w:spacing w:before="9"/>
        <w:rPr>
          <w:sz w:val="16"/>
        </w:rPr>
      </w:pPr>
    </w:p>
    <w:p w:rsidR="00D671E5" w:rsidRDefault="002E4581">
      <w:pPr>
        <w:pStyle w:val="Heading1"/>
      </w:pPr>
      <w:r>
        <w:t>Neni 4</w:t>
      </w:r>
    </w:p>
    <w:p w:rsidR="00D671E5" w:rsidRDefault="00D671E5">
      <w:pPr>
        <w:pStyle w:val="BodyText"/>
        <w:spacing w:before="2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Në fund të paragrafit të dytë të nenit 4 shtohet një paragraf me këtë përmbajtje:</w:t>
      </w:r>
    </w:p>
    <w:p w:rsidR="00D671E5" w:rsidRDefault="002E4581">
      <w:pPr>
        <w:pStyle w:val="BodyText"/>
        <w:ind w:left="120" w:right="230"/>
      </w:pPr>
      <w:r>
        <w:t>“Për mbështetjen e veprimtarisë së Inspektoratit Sanitar Shtetëror, në fushën e shëndetit publik, krijohet Komiteti Kombëtar i Shëndetit Publik, si organ k</w:t>
      </w:r>
      <w:r>
        <w:t xml:space="preserve">ëshillimor, në funksion të Ministrit të Shëndetësisë. Në të bëjnë pjesë specialistë me përvojë në fushën e shëndetit publik. Përbërja, kriteret e përzgjedhjes së anëtarëve, kompetencat, detyrat dhe mënyra e funksionimit të tij përcaktohen me rregullore të </w:t>
      </w:r>
      <w:r>
        <w:t>miratuar nga Ministri i Shëndetësisë. Mënyra dhe masa e shpërblimit të anëtarëve të Komitetit të Shëndetit Publik caktohen me vendim të Këshillit të Ministrave.”.</w:t>
      </w:r>
    </w:p>
    <w:p w:rsidR="00D671E5" w:rsidRDefault="00D671E5">
      <w:pPr>
        <w:pStyle w:val="BodyText"/>
        <w:spacing w:before="8"/>
        <w:rPr>
          <w:sz w:val="16"/>
        </w:rPr>
      </w:pPr>
    </w:p>
    <w:p w:rsidR="00D671E5" w:rsidRDefault="002E4581">
      <w:pPr>
        <w:pStyle w:val="Heading1"/>
      </w:pPr>
      <w:r>
        <w:t>Neni 5</w:t>
      </w:r>
    </w:p>
    <w:p w:rsidR="00D671E5" w:rsidRDefault="00D671E5">
      <w:pPr>
        <w:pStyle w:val="BodyText"/>
        <w:spacing w:before="4"/>
        <w:rPr>
          <w:b/>
        </w:rPr>
      </w:pPr>
    </w:p>
    <w:p w:rsidR="00D671E5" w:rsidRDefault="002E4581">
      <w:pPr>
        <w:pStyle w:val="BodyText"/>
        <w:ind w:left="120"/>
      </w:pPr>
      <w:r>
        <w:t>Neni 5 ndryshohet si më poshtë:</w:t>
      </w:r>
    </w:p>
    <w:p w:rsidR="00D671E5" w:rsidRDefault="00D671E5">
      <w:pPr>
        <w:sectPr w:rsidR="00D671E5">
          <w:pgSz w:w="12240" w:h="15840"/>
          <w:pgMar w:top="1360" w:right="1700" w:bottom="280" w:left="1680" w:header="720" w:footer="720" w:gutter="0"/>
          <w:cols w:space="720"/>
        </w:sectPr>
      </w:pPr>
    </w:p>
    <w:p w:rsidR="00D671E5" w:rsidRDefault="002E4581">
      <w:pPr>
        <w:pStyle w:val="Heading1"/>
        <w:spacing w:before="60"/>
      </w:pPr>
      <w:r>
        <w:lastRenderedPageBreak/>
        <w:t>“Neni 5</w:t>
      </w:r>
    </w:p>
    <w:p w:rsidR="00D671E5" w:rsidRDefault="00D671E5">
      <w:pPr>
        <w:pStyle w:val="BodyText"/>
        <w:spacing w:before="2"/>
        <w:rPr>
          <w:b/>
          <w:sz w:val="16"/>
        </w:rPr>
      </w:pPr>
    </w:p>
    <w:p w:rsidR="00D671E5" w:rsidRDefault="002E4581">
      <w:pPr>
        <w:pStyle w:val="BodyText"/>
        <w:spacing w:before="90"/>
        <w:ind w:left="119" w:right="210"/>
      </w:pPr>
      <w:r>
        <w:t>Drejtoria e Shëndetit Publik në M</w:t>
      </w:r>
      <w:r>
        <w:t>inistrinë e Shëndetësisë, e mbështetur nga Instituti i Shëndetit Publik, strukturat e shëndetit publik në nivel vendor dhe Inspektorati Sanitar Shtetëror në rrethe e qarqe studion, kontrollon dhe evidenton shkencërisht faktorët e dëmshëm për shëndetin e po</w:t>
      </w:r>
      <w:r>
        <w:t>pullatës në fushat e përcaktuara në nenin 13 të këtij ligji dhe pasojat që rrjedhin prej tyre.”</w:t>
      </w:r>
    </w:p>
    <w:p w:rsidR="00D671E5" w:rsidRDefault="00D671E5">
      <w:pPr>
        <w:pStyle w:val="BodyText"/>
        <w:spacing w:before="11"/>
        <w:rPr>
          <w:sz w:val="16"/>
        </w:rPr>
      </w:pPr>
    </w:p>
    <w:p w:rsidR="00D671E5" w:rsidRDefault="002E4581">
      <w:pPr>
        <w:pStyle w:val="Heading1"/>
      </w:pPr>
      <w:r>
        <w:t>Neni 6</w:t>
      </w:r>
    </w:p>
    <w:p w:rsidR="00D671E5" w:rsidRDefault="00D671E5">
      <w:pPr>
        <w:pStyle w:val="BodyText"/>
        <w:spacing w:before="3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Neni 6 ndryshohet si më poshtë:</w:t>
      </w:r>
    </w:p>
    <w:p w:rsidR="00D671E5" w:rsidRDefault="00D671E5">
      <w:pPr>
        <w:pStyle w:val="BodyText"/>
        <w:spacing w:before="8"/>
        <w:rPr>
          <w:sz w:val="16"/>
        </w:rPr>
      </w:pPr>
    </w:p>
    <w:p w:rsidR="00D671E5" w:rsidRDefault="002E4581">
      <w:pPr>
        <w:pStyle w:val="Heading1"/>
      </w:pPr>
      <w:r>
        <w:t>“Neni 6</w:t>
      </w:r>
    </w:p>
    <w:p w:rsidR="00D671E5" w:rsidRDefault="00D671E5">
      <w:pPr>
        <w:pStyle w:val="BodyText"/>
        <w:spacing w:before="2"/>
        <w:rPr>
          <w:b/>
          <w:sz w:val="16"/>
        </w:rPr>
      </w:pPr>
    </w:p>
    <w:p w:rsidR="00D671E5" w:rsidRDefault="002E4581">
      <w:pPr>
        <w:pStyle w:val="BodyText"/>
        <w:spacing w:before="90"/>
        <w:ind w:left="120" w:right="235"/>
      </w:pPr>
      <w:r>
        <w:t>Inspektorati Sanitar Shtetëror, për zgjidhjen e problemeve të ndryshme që dalin gjatë veprimtarisë së tij, bashkëpunon, në mënyrë institucionale, me strukturat e Policisë së Shtetit, prokurorinë, inspektoratet e ushqimit, të veterinarisë, mbrojtjes së bimë</w:t>
      </w:r>
      <w:r>
        <w:t>ve, mjedisit, Inspektoratin Shtetëror të Punës dhe atë të mbrojtjes nga rrezatimet jonizuese.”</w:t>
      </w:r>
    </w:p>
    <w:p w:rsidR="00D671E5" w:rsidRDefault="00D671E5">
      <w:pPr>
        <w:pStyle w:val="BodyText"/>
        <w:spacing w:before="10"/>
        <w:rPr>
          <w:sz w:val="16"/>
        </w:rPr>
      </w:pPr>
    </w:p>
    <w:p w:rsidR="00D671E5" w:rsidRDefault="002E4581">
      <w:pPr>
        <w:pStyle w:val="Heading1"/>
      </w:pPr>
      <w:r>
        <w:t>Neni 7</w:t>
      </w:r>
    </w:p>
    <w:p w:rsidR="00D671E5" w:rsidRDefault="00D671E5">
      <w:pPr>
        <w:pStyle w:val="BodyText"/>
        <w:spacing w:before="4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Paragrafi i parë i nenit 12 ndryshohet si më poshtë:</w:t>
      </w:r>
    </w:p>
    <w:p w:rsidR="00D671E5" w:rsidRDefault="00D671E5">
      <w:pPr>
        <w:pStyle w:val="BodyText"/>
        <w:spacing w:before="4"/>
        <w:rPr>
          <w:sz w:val="16"/>
        </w:rPr>
      </w:pPr>
    </w:p>
    <w:p w:rsidR="00D671E5" w:rsidRDefault="002E4581">
      <w:pPr>
        <w:pStyle w:val="BodyText"/>
        <w:spacing w:before="90"/>
        <w:ind w:left="120" w:right="282"/>
      </w:pPr>
      <w:r>
        <w:t>“Ndërmarrjet, institucionet shtetërore e private dhe personat e tjerë fizikë e juridikë, vendas os</w:t>
      </w:r>
      <w:r>
        <w:t>e të huaj, për ndërtimin dhe rikonstruksionin e objekteve të ndryshme duhet të bëjnë vetëdeklarimin për plotësimin e kushteve higjeniko-shëndetësore në Inspektoratin Sanitar Shtetëror. Inspektorati Sanitar Shtetëror, pasi bën ekspertimin higjeniko- shëndet</w:t>
      </w:r>
      <w:r>
        <w:t>ësor paraprak, jep aktmiratimin:”</w:t>
      </w:r>
    </w:p>
    <w:p w:rsidR="00D671E5" w:rsidRDefault="00D671E5">
      <w:pPr>
        <w:pStyle w:val="BodyText"/>
        <w:spacing w:before="11"/>
        <w:rPr>
          <w:sz w:val="16"/>
        </w:rPr>
      </w:pPr>
    </w:p>
    <w:p w:rsidR="00D671E5" w:rsidRDefault="002E4581">
      <w:pPr>
        <w:pStyle w:val="Heading1"/>
      </w:pPr>
      <w:r>
        <w:t>Neni 8</w:t>
      </w:r>
    </w:p>
    <w:p w:rsidR="00D671E5" w:rsidRDefault="00D671E5">
      <w:pPr>
        <w:pStyle w:val="BodyText"/>
        <w:spacing w:before="3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Në nenin 13 bëhen këto ndryshime dhe shtesa:</w:t>
      </w:r>
    </w:p>
    <w:p w:rsidR="00D671E5" w:rsidRDefault="00D671E5">
      <w:pPr>
        <w:pStyle w:val="BodyText"/>
        <w:spacing w:before="4"/>
        <w:rPr>
          <w:sz w:val="16"/>
        </w:rPr>
      </w:pPr>
    </w:p>
    <w:p w:rsidR="00D671E5" w:rsidRDefault="002E4581">
      <w:pPr>
        <w:pStyle w:val="ListParagraph"/>
        <w:numPr>
          <w:ilvl w:val="0"/>
          <w:numId w:val="3"/>
        </w:numPr>
        <w:tabs>
          <w:tab w:val="left" w:pos="361"/>
        </w:tabs>
        <w:spacing w:before="90"/>
        <w:rPr>
          <w:sz w:val="24"/>
        </w:rPr>
      </w:pPr>
      <w:r>
        <w:rPr>
          <w:sz w:val="24"/>
        </w:rPr>
        <w:t>Fjalia e parë ndryshohet si më</w:t>
      </w:r>
      <w:r>
        <w:rPr>
          <w:spacing w:val="-1"/>
          <w:sz w:val="24"/>
        </w:rPr>
        <w:t xml:space="preserve"> </w:t>
      </w:r>
      <w:r>
        <w:rPr>
          <w:sz w:val="24"/>
        </w:rPr>
        <w:t>poshtë:</w:t>
      </w:r>
    </w:p>
    <w:p w:rsidR="00D671E5" w:rsidRDefault="002E4581">
      <w:pPr>
        <w:pStyle w:val="BodyText"/>
        <w:ind w:left="120"/>
      </w:pPr>
      <w:r>
        <w:t>“Inspektorati Sanitar Shtetëror monitoron dhe kontrollon:”.</w:t>
      </w:r>
    </w:p>
    <w:p w:rsidR="00D671E5" w:rsidRDefault="002E4581">
      <w:pPr>
        <w:pStyle w:val="ListParagraph"/>
        <w:numPr>
          <w:ilvl w:val="0"/>
          <w:numId w:val="3"/>
        </w:numPr>
        <w:tabs>
          <w:tab w:val="left" w:pos="360"/>
        </w:tabs>
        <w:ind w:left="120" w:right="961" w:firstLine="0"/>
        <w:rPr>
          <w:sz w:val="24"/>
        </w:rPr>
      </w:pPr>
      <w:r>
        <w:rPr>
          <w:sz w:val="24"/>
        </w:rPr>
        <w:t xml:space="preserve">Në fund të shkronjës “b” shtohen fjalët “edhe treguesit e shëndetit </w:t>
      </w:r>
      <w:r>
        <w:rPr>
          <w:sz w:val="24"/>
        </w:rPr>
        <w:t>mjedisor,</w:t>
      </w:r>
      <w:r>
        <w:rPr>
          <w:spacing w:val="-20"/>
          <w:sz w:val="24"/>
        </w:rPr>
        <w:t xml:space="preserve"> </w:t>
      </w:r>
      <w:r>
        <w:rPr>
          <w:sz w:val="24"/>
        </w:rPr>
        <w:t>të rekomanduar nga Organizata Botërore e</w:t>
      </w:r>
      <w:r>
        <w:rPr>
          <w:spacing w:val="-3"/>
          <w:sz w:val="24"/>
        </w:rPr>
        <w:t xml:space="preserve"> </w:t>
      </w:r>
      <w:r>
        <w:rPr>
          <w:sz w:val="24"/>
        </w:rPr>
        <w:t>Shëndetësisë”.</w:t>
      </w:r>
    </w:p>
    <w:p w:rsidR="00D671E5" w:rsidRDefault="002E4581">
      <w:pPr>
        <w:pStyle w:val="ListParagraph"/>
        <w:numPr>
          <w:ilvl w:val="0"/>
          <w:numId w:val="3"/>
        </w:numPr>
        <w:tabs>
          <w:tab w:val="left" w:pos="360"/>
        </w:tabs>
        <w:ind w:left="120" w:right="276" w:firstLine="0"/>
        <w:rPr>
          <w:sz w:val="24"/>
        </w:rPr>
      </w:pPr>
      <w:r>
        <w:rPr>
          <w:sz w:val="24"/>
        </w:rPr>
        <w:t>Në fund të shkronjës “c” shtohen fjalët “si dhe analizën e hazardëve dhe kontrollin</w:t>
      </w:r>
      <w:r>
        <w:rPr>
          <w:spacing w:val="-22"/>
          <w:sz w:val="24"/>
        </w:rPr>
        <w:t xml:space="preserve"> </w:t>
      </w:r>
      <w:r>
        <w:rPr>
          <w:sz w:val="24"/>
        </w:rPr>
        <w:t>në pikat kritike në të gjithë zinxhirin për prodhimin e produkteve</w:t>
      </w:r>
      <w:r>
        <w:rPr>
          <w:spacing w:val="-6"/>
          <w:sz w:val="24"/>
        </w:rPr>
        <w:t xml:space="preserve"> </w:t>
      </w:r>
      <w:r>
        <w:rPr>
          <w:sz w:val="24"/>
        </w:rPr>
        <w:t>ushqimore”.</w:t>
      </w:r>
    </w:p>
    <w:p w:rsidR="00D671E5" w:rsidRDefault="002E4581">
      <w:pPr>
        <w:pStyle w:val="ListParagraph"/>
        <w:numPr>
          <w:ilvl w:val="0"/>
          <w:numId w:val="3"/>
        </w:numPr>
        <w:tabs>
          <w:tab w:val="left" w:pos="360"/>
        </w:tabs>
        <w:spacing w:before="2"/>
        <w:ind w:hanging="240"/>
        <w:rPr>
          <w:sz w:val="24"/>
        </w:rPr>
      </w:pPr>
      <w:r>
        <w:rPr>
          <w:sz w:val="24"/>
        </w:rPr>
        <w:t>Në fund të shkronjës “ç”, pas fjalës “transportohen” shtohen fjalët “e</w:t>
      </w:r>
      <w:r>
        <w:rPr>
          <w:spacing w:val="-11"/>
          <w:sz w:val="24"/>
        </w:rPr>
        <w:t xml:space="preserve"> </w:t>
      </w:r>
      <w:r>
        <w:rPr>
          <w:sz w:val="24"/>
        </w:rPr>
        <w:t>konsumohen”.</w:t>
      </w:r>
    </w:p>
    <w:p w:rsidR="00D671E5" w:rsidRDefault="00D671E5">
      <w:pPr>
        <w:pStyle w:val="BodyText"/>
        <w:spacing w:before="8"/>
        <w:rPr>
          <w:sz w:val="16"/>
        </w:rPr>
      </w:pPr>
    </w:p>
    <w:p w:rsidR="00D671E5" w:rsidRDefault="002E4581">
      <w:pPr>
        <w:pStyle w:val="Heading1"/>
      </w:pPr>
      <w:r>
        <w:t>Neni 9</w:t>
      </w:r>
    </w:p>
    <w:p w:rsidR="00D671E5" w:rsidRDefault="00D671E5">
      <w:pPr>
        <w:pStyle w:val="BodyText"/>
        <w:spacing w:before="4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Në fund të pikës 3 të nenit 26 shtohen fjalët “dhe i AZKPK-së (HACCP)”.</w:t>
      </w:r>
    </w:p>
    <w:p w:rsidR="00D671E5" w:rsidRDefault="00D671E5">
      <w:pPr>
        <w:pStyle w:val="BodyText"/>
        <w:spacing w:before="8"/>
        <w:rPr>
          <w:sz w:val="16"/>
        </w:rPr>
      </w:pPr>
    </w:p>
    <w:p w:rsidR="00D671E5" w:rsidRDefault="002E4581">
      <w:pPr>
        <w:pStyle w:val="Heading1"/>
      </w:pPr>
      <w:r>
        <w:t>Neni 10</w:t>
      </w:r>
    </w:p>
    <w:p w:rsidR="00D671E5" w:rsidRDefault="00D671E5">
      <w:pPr>
        <w:sectPr w:rsidR="00D671E5">
          <w:pgSz w:w="12240" w:h="15840"/>
          <w:pgMar w:top="1380" w:right="1700" w:bottom="280" w:left="1680" w:header="720" w:footer="720" w:gutter="0"/>
          <w:cols w:space="720"/>
        </w:sectPr>
      </w:pPr>
    </w:p>
    <w:p w:rsidR="00D671E5" w:rsidRDefault="002E4581">
      <w:pPr>
        <w:pStyle w:val="BodyText"/>
        <w:spacing w:before="78"/>
        <w:ind w:left="120"/>
      </w:pPr>
      <w:r>
        <w:lastRenderedPageBreak/>
        <w:t>Në nenin 27 bëhen këto ndryshime:</w:t>
      </w:r>
    </w:p>
    <w:p w:rsidR="00D671E5" w:rsidRDefault="00D671E5">
      <w:pPr>
        <w:pStyle w:val="BodyText"/>
        <w:spacing w:before="2"/>
      </w:pPr>
    </w:p>
    <w:p w:rsidR="00D671E5" w:rsidRDefault="002E4581">
      <w:pPr>
        <w:pStyle w:val="BodyText"/>
        <w:ind w:left="120"/>
      </w:pPr>
      <w:r>
        <w:t>Në pikën 4 bëhet ndryshimi si më posh</w:t>
      </w:r>
      <w:r>
        <w:t>të:</w:t>
      </w:r>
    </w:p>
    <w:p w:rsidR="00D671E5" w:rsidRDefault="002E4581">
      <w:pPr>
        <w:pStyle w:val="BodyText"/>
        <w:ind w:left="120" w:right="375"/>
      </w:pPr>
      <w:r>
        <w:t>“- për shkeljet e parashikuara në pikat 1, 2, 3, 6, 7 dhe 14, masa e gjobës është 500 000 (pesëqind mijë) lekë;</w:t>
      </w:r>
    </w:p>
    <w:p w:rsidR="00D671E5" w:rsidRDefault="002E4581">
      <w:pPr>
        <w:pStyle w:val="ListParagraph"/>
        <w:numPr>
          <w:ilvl w:val="0"/>
          <w:numId w:val="2"/>
        </w:numPr>
        <w:tabs>
          <w:tab w:val="left" w:pos="261"/>
        </w:tabs>
        <w:ind w:right="547" w:firstLine="0"/>
        <w:rPr>
          <w:sz w:val="24"/>
        </w:rPr>
      </w:pPr>
      <w:r>
        <w:rPr>
          <w:sz w:val="24"/>
        </w:rPr>
        <w:t>për shkeljet e parashikuara në pikat 4, 5 e 8, masa e gjobës është 50 000 (pesëdhjetë mijë)</w:t>
      </w:r>
      <w:r>
        <w:rPr>
          <w:spacing w:val="-1"/>
          <w:sz w:val="24"/>
        </w:rPr>
        <w:t xml:space="preserve"> </w:t>
      </w:r>
      <w:r>
        <w:rPr>
          <w:sz w:val="24"/>
        </w:rPr>
        <w:t>lekë;</w:t>
      </w:r>
    </w:p>
    <w:p w:rsidR="00D671E5" w:rsidRDefault="002E4581">
      <w:pPr>
        <w:pStyle w:val="ListParagraph"/>
        <w:numPr>
          <w:ilvl w:val="0"/>
          <w:numId w:val="2"/>
        </w:numPr>
        <w:tabs>
          <w:tab w:val="left" w:pos="261"/>
        </w:tabs>
        <w:ind w:left="119" w:right="499" w:firstLine="0"/>
        <w:rPr>
          <w:sz w:val="24"/>
        </w:rPr>
      </w:pPr>
      <w:r>
        <w:rPr>
          <w:sz w:val="24"/>
        </w:rPr>
        <w:t>për shkeljet e parashikuara në pikat 10, 1</w:t>
      </w:r>
      <w:r>
        <w:rPr>
          <w:sz w:val="24"/>
        </w:rPr>
        <w:t>1, 12, 13 e 15, masa e gjobës është 200 000 (dyqind mijë)</w:t>
      </w:r>
      <w:r>
        <w:rPr>
          <w:spacing w:val="-1"/>
          <w:sz w:val="24"/>
        </w:rPr>
        <w:t xml:space="preserve"> </w:t>
      </w:r>
      <w:r>
        <w:rPr>
          <w:sz w:val="24"/>
        </w:rPr>
        <w:t>lekë;</w:t>
      </w:r>
    </w:p>
    <w:p w:rsidR="00D671E5" w:rsidRDefault="002E4581">
      <w:pPr>
        <w:pStyle w:val="ListParagraph"/>
        <w:numPr>
          <w:ilvl w:val="0"/>
          <w:numId w:val="2"/>
        </w:numPr>
        <w:tabs>
          <w:tab w:val="left" w:pos="261"/>
        </w:tabs>
        <w:ind w:right="168" w:firstLine="0"/>
        <w:rPr>
          <w:sz w:val="24"/>
        </w:rPr>
      </w:pPr>
      <w:r>
        <w:rPr>
          <w:sz w:val="24"/>
        </w:rPr>
        <w:t>për shkeljet e parashikuara në pikat 9, 16 e 17, masa e gjobës është 10 000 (dhjetë</w:t>
      </w:r>
      <w:r>
        <w:rPr>
          <w:spacing w:val="-16"/>
          <w:sz w:val="24"/>
        </w:rPr>
        <w:t xml:space="preserve"> </w:t>
      </w:r>
      <w:r>
        <w:rPr>
          <w:sz w:val="24"/>
        </w:rPr>
        <w:t>mijë) lekë.”</w:t>
      </w:r>
    </w:p>
    <w:p w:rsidR="00D671E5" w:rsidRDefault="00D671E5">
      <w:pPr>
        <w:pStyle w:val="BodyText"/>
        <w:spacing w:before="10"/>
        <w:rPr>
          <w:sz w:val="16"/>
        </w:rPr>
      </w:pPr>
    </w:p>
    <w:p w:rsidR="00D671E5" w:rsidRDefault="002E4581">
      <w:pPr>
        <w:pStyle w:val="Heading1"/>
      </w:pPr>
      <w:r>
        <w:t>Neni 11</w:t>
      </w:r>
    </w:p>
    <w:p w:rsidR="00D671E5" w:rsidRDefault="00D671E5">
      <w:pPr>
        <w:pStyle w:val="BodyText"/>
        <w:spacing w:before="3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Në nenin 34 bëhen këto ndryshime dhe shtesa:</w:t>
      </w:r>
    </w:p>
    <w:p w:rsidR="00D671E5" w:rsidRDefault="002E4581">
      <w:pPr>
        <w:pStyle w:val="ListParagraph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Në paragrafin e parë hiqet fjala</w:t>
      </w:r>
      <w:r>
        <w:rPr>
          <w:spacing w:val="-2"/>
          <w:sz w:val="24"/>
        </w:rPr>
        <w:t xml:space="preserve"> </w:t>
      </w:r>
      <w:r>
        <w:rPr>
          <w:sz w:val="24"/>
        </w:rPr>
        <w:t>“vullnetarisht”.</w:t>
      </w:r>
    </w:p>
    <w:p w:rsidR="00D671E5" w:rsidRDefault="002E4581">
      <w:pPr>
        <w:pStyle w:val="ListParagraph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Në paragrafin e tretë, pas fjalës “financës” shtohen fjalët “njësi e qeverisjes</w:t>
      </w:r>
      <w:r>
        <w:rPr>
          <w:spacing w:val="-19"/>
          <w:sz w:val="24"/>
        </w:rPr>
        <w:t xml:space="preserve"> </w:t>
      </w:r>
      <w:r>
        <w:rPr>
          <w:sz w:val="24"/>
        </w:rPr>
        <w:t>vendore”.</w:t>
      </w:r>
    </w:p>
    <w:p w:rsidR="00D671E5" w:rsidRDefault="002E4581">
      <w:pPr>
        <w:pStyle w:val="ListParagraph"/>
        <w:numPr>
          <w:ilvl w:val="0"/>
          <w:numId w:val="1"/>
        </w:numPr>
        <w:tabs>
          <w:tab w:val="left" w:pos="360"/>
        </w:tabs>
        <w:ind w:hanging="240"/>
        <w:rPr>
          <w:sz w:val="24"/>
        </w:rPr>
      </w:pPr>
      <w:r>
        <w:rPr>
          <w:sz w:val="24"/>
        </w:rPr>
        <w:t>Në fund të këtij neni shtohet një paragraf me këtë</w:t>
      </w:r>
      <w:r>
        <w:rPr>
          <w:spacing w:val="-4"/>
          <w:sz w:val="24"/>
        </w:rPr>
        <w:t xml:space="preserve"> </w:t>
      </w:r>
      <w:r>
        <w:rPr>
          <w:sz w:val="24"/>
        </w:rPr>
        <w:t>përmbajtje:</w:t>
      </w:r>
    </w:p>
    <w:p w:rsidR="00D671E5" w:rsidRDefault="002E4581">
      <w:pPr>
        <w:pStyle w:val="BodyText"/>
        <w:ind w:left="120" w:right="415"/>
      </w:pPr>
      <w:r>
        <w:t>“Shqyrtimi i kundërvajtjes administrative, të parashikuar në dispozitat e mësipërme, b</w:t>
      </w:r>
      <w:r>
        <w:t>ëhet sipas ligjit nr.7679, datë 7.4.1993 “Për kundërvajtjet administrative”, të ndryshuar.”</w:t>
      </w:r>
    </w:p>
    <w:p w:rsidR="00D671E5" w:rsidRDefault="00D671E5">
      <w:pPr>
        <w:pStyle w:val="BodyText"/>
        <w:spacing w:before="9"/>
        <w:rPr>
          <w:sz w:val="16"/>
        </w:rPr>
      </w:pPr>
    </w:p>
    <w:p w:rsidR="00D671E5" w:rsidRDefault="002E4581">
      <w:pPr>
        <w:pStyle w:val="Heading1"/>
      </w:pPr>
      <w:r>
        <w:t>Neni 12</w:t>
      </w:r>
    </w:p>
    <w:p w:rsidR="00D671E5" w:rsidRDefault="00D671E5">
      <w:pPr>
        <w:pStyle w:val="BodyText"/>
        <w:spacing w:before="3"/>
        <w:rPr>
          <w:b/>
          <w:sz w:val="16"/>
        </w:rPr>
      </w:pPr>
    </w:p>
    <w:p w:rsidR="00D671E5" w:rsidRDefault="002E4581">
      <w:pPr>
        <w:pStyle w:val="BodyText"/>
        <w:spacing w:before="90"/>
        <w:ind w:left="120"/>
      </w:pPr>
      <w:r>
        <w:t>Ky ligj hyn në fuqi 15 ditë pas botimit në Fletoren Zyrtare.</w:t>
      </w:r>
    </w:p>
    <w:p w:rsidR="00D671E5" w:rsidRDefault="00D671E5">
      <w:pPr>
        <w:pStyle w:val="BodyText"/>
        <w:spacing w:before="6"/>
        <w:rPr>
          <w:sz w:val="16"/>
        </w:rPr>
      </w:pPr>
    </w:p>
    <w:p w:rsidR="00D671E5" w:rsidRDefault="002E4581">
      <w:pPr>
        <w:pStyle w:val="BodyText"/>
        <w:spacing w:before="90"/>
        <w:ind w:left="120" w:right="1294"/>
      </w:pPr>
      <w:r>
        <w:t>Shpallur me dekretin nr.5121, datë 20.11.2006 të Presidentit të Republikës së Shqipërisë, Al</w:t>
      </w:r>
      <w:r>
        <w:t>fred Moisiu</w:t>
      </w:r>
    </w:p>
    <w:sectPr w:rsidR="00D671E5"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2BEA"/>
    <w:multiLevelType w:val="hybridMultilevel"/>
    <w:tmpl w:val="D24E7706"/>
    <w:lvl w:ilvl="0" w:tplc="B3E01E0C">
      <w:numFmt w:val="bullet"/>
      <w:lvlText w:val="-"/>
      <w:lvlJc w:val="left"/>
      <w:pPr>
        <w:ind w:left="120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0180E138">
      <w:numFmt w:val="bullet"/>
      <w:lvlText w:val="•"/>
      <w:lvlJc w:val="left"/>
      <w:pPr>
        <w:ind w:left="994" w:hanging="141"/>
      </w:pPr>
      <w:rPr>
        <w:rFonts w:hint="default"/>
        <w:lang w:val="sq-AL" w:eastAsia="en-US" w:bidi="ar-SA"/>
      </w:rPr>
    </w:lvl>
    <w:lvl w:ilvl="2" w:tplc="E454243A">
      <w:numFmt w:val="bullet"/>
      <w:lvlText w:val="•"/>
      <w:lvlJc w:val="left"/>
      <w:pPr>
        <w:ind w:left="1868" w:hanging="141"/>
      </w:pPr>
      <w:rPr>
        <w:rFonts w:hint="default"/>
        <w:lang w:val="sq-AL" w:eastAsia="en-US" w:bidi="ar-SA"/>
      </w:rPr>
    </w:lvl>
    <w:lvl w:ilvl="3" w:tplc="1408E1B0">
      <w:numFmt w:val="bullet"/>
      <w:lvlText w:val="•"/>
      <w:lvlJc w:val="left"/>
      <w:pPr>
        <w:ind w:left="2742" w:hanging="141"/>
      </w:pPr>
      <w:rPr>
        <w:rFonts w:hint="default"/>
        <w:lang w:val="sq-AL" w:eastAsia="en-US" w:bidi="ar-SA"/>
      </w:rPr>
    </w:lvl>
    <w:lvl w:ilvl="4" w:tplc="CAC2169C">
      <w:numFmt w:val="bullet"/>
      <w:lvlText w:val="•"/>
      <w:lvlJc w:val="left"/>
      <w:pPr>
        <w:ind w:left="3616" w:hanging="141"/>
      </w:pPr>
      <w:rPr>
        <w:rFonts w:hint="default"/>
        <w:lang w:val="sq-AL" w:eastAsia="en-US" w:bidi="ar-SA"/>
      </w:rPr>
    </w:lvl>
    <w:lvl w:ilvl="5" w:tplc="E3D6205A">
      <w:numFmt w:val="bullet"/>
      <w:lvlText w:val="•"/>
      <w:lvlJc w:val="left"/>
      <w:pPr>
        <w:ind w:left="4490" w:hanging="141"/>
      </w:pPr>
      <w:rPr>
        <w:rFonts w:hint="default"/>
        <w:lang w:val="sq-AL" w:eastAsia="en-US" w:bidi="ar-SA"/>
      </w:rPr>
    </w:lvl>
    <w:lvl w:ilvl="6" w:tplc="76FC1CCE">
      <w:numFmt w:val="bullet"/>
      <w:lvlText w:val="•"/>
      <w:lvlJc w:val="left"/>
      <w:pPr>
        <w:ind w:left="5364" w:hanging="141"/>
      </w:pPr>
      <w:rPr>
        <w:rFonts w:hint="default"/>
        <w:lang w:val="sq-AL" w:eastAsia="en-US" w:bidi="ar-SA"/>
      </w:rPr>
    </w:lvl>
    <w:lvl w:ilvl="7" w:tplc="8D683EF6">
      <w:numFmt w:val="bullet"/>
      <w:lvlText w:val="•"/>
      <w:lvlJc w:val="left"/>
      <w:pPr>
        <w:ind w:left="6238" w:hanging="141"/>
      </w:pPr>
      <w:rPr>
        <w:rFonts w:hint="default"/>
        <w:lang w:val="sq-AL" w:eastAsia="en-US" w:bidi="ar-SA"/>
      </w:rPr>
    </w:lvl>
    <w:lvl w:ilvl="8" w:tplc="D416EF30">
      <w:numFmt w:val="bullet"/>
      <w:lvlText w:val="•"/>
      <w:lvlJc w:val="left"/>
      <w:pPr>
        <w:ind w:left="7112" w:hanging="141"/>
      </w:pPr>
      <w:rPr>
        <w:rFonts w:hint="default"/>
        <w:lang w:val="sq-AL" w:eastAsia="en-US" w:bidi="ar-SA"/>
      </w:rPr>
    </w:lvl>
  </w:abstractNum>
  <w:abstractNum w:abstractNumId="1" w15:restartNumberingAfterBreak="0">
    <w:nsid w:val="51462E1B"/>
    <w:multiLevelType w:val="hybridMultilevel"/>
    <w:tmpl w:val="E87C964A"/>
    <w:lvl w:ilvl="0" w:tplc="16261514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FCC6E604">
      <w:numFmt w:val="bullet"/>
      <w:lvlText w:val="•"/>
      <w:lvlJc w:val="left"/>
      <w:pPr>
        <w:ind w:left="1210" w:hanging="241"/>
      </w:pPr>
      <w:rPr>
        <w:rFonts w:hint="default"/>
        <w:lang w:val="sq-AL" w:eastAsia="en-US" w:bidi="ar-SA"/>
      </w:rPr>
    </w:lvl>
    <w:lvl w:ilvl="2" w:tplc="CA8AB584">
      <w:numFmt w:val="bullet"/>
      <w:lvlText w:val="•"/>
      <w:lvlJc w:val="left"/>
      <w:pPr>
        <w:ind w:left="2060" w:hanging="241"/>
      </w:pPr>
      <w:rPr>
        <w:rFonts w:hint="default"/>
        <w:lang w:val="sq-AL" w:eastAsia="en-US" w:bidi="ar-SA"/>
      </w:rPr>
    </w:lvl>
    <w:lvl w:ilvl="3" w:tplc="30383006">
      <w:numFmt w:val="bullet"/>
      <w:lvlText w:val="•"/>
      <w:lvlJc w:val="left"/>
      <w:pPr>
        <w:ind w:left="2910" w:hanging="241"/>
      </w:pPr>
      <w:rPr>
        <w:rFonts w:hint="default"/>
        <w:lang w:val="sq-AL" w:eastAsia="en-US" w:bidi="ar-SA"/>
      </w:rPr>
    </w:lvl>
    <w:lvl w:ilvl="4" w:tplc="CD829282">
      <w:numFmt w:val="bullet"/>
      <w:lvlText w:val="•"/>
      <w:lvlJc w:val="left"/>
      <w:pPr>
        <w:ind w:left="3760" w:hanging="241"/>
      </w:pPr>
      <w:rPr>
        <w:rFonts w:hint="default"/>
        <w:lang w:val="sq-AL" w:eastAsia="en-US" w:bidi="ar-SA"/>
      </w:rPr>
    </w:lvl>
    <w:lvl w:ilvl="5" w:tplc="F96ADF96">
      <w:numFmt w:val="bullet"/>
      <w:lvlText w:val="•"/>
      <w:lvlJc w:val="left"/>
      <w:pPr>
        <w:ind w:left="4610" w:hanging="241"/>
      </w:pPr>
      <w:rPr>
        <w:rFonts w:hint="default"/>
        <w:lang w:val="sq-AL" w:eastAsia="en-US" w:bidi="ar-SA"/>
      </w:rPr>
    </w:lvl>
    <w:lvl w:ilvl="6" w:tplc="F9503BE8">
      <w:numFmt w:val="bullet"/>
      <w:lvlText w:val="•"/>
      <w:lvlJc w:val="left"/>
      <w:pPr>
        <w:ind w:left="5460" w:hanging="241"/>
      </w:pPr>
      <w:rPr>
        <w:rFonts w:hint="default"/>
        <w:lang w:val="sq-AL" w:eastAsia="en-US" w:bidi="ar-SA"/>
      </w:rPr>
    </w:lvl>
    <w:lvl w:ilvl="7" w:tplc="A37C3C5A">
      <w:numFmt w:val="bullet"/>
      <w:lvlText w:val="•"/>
      <w:lvlJc w:val="left"/>
      <w:pPr>
        <w:ind w:left="6310" w:hanging="241"/>
      </w:pPr>
      <w:rPr>
        <w:rFonts w:hint="default"/>
        <w:lang w:val="sq-AL" w:eastAsia="en-US" w:bidi="ar-SA"/>
      </w:rPr>
    </w:lvl>
    <w:lvl w:ilvl="8" w:tplc="97D436C0">
      <w:numFmt w:val="bullet"/>
      <w:lvlText w:val="•"/>
      <w:lvlJc w:val="left"/>
      <w:pPr>
        <w:ind w:left="7160" w:hanging="241"/>
      </w:pPr>
      <w:rPr>
        <w:rFonts w:hint="default"/>
        <w:lang w:val="sq-AL" w:eastAsia="en-US" w:bidi="ar-SA"/>
      </w:rPr>
    </w:lvl>
  </w:abstractNum>
  <w:abstractNum w:abstractNumId="2" w15:restartNumberingAfterBreak="0">
    <w:nsid w:val="5A5A6857"/>
    <w:multiLevelType w:val="hybridMultilevel"/>
    <w:tmpl w:val="5ED46CFC"/>
    <w:lvl w:ilvl="0" w:tplc="8D94CC5E">
      <w:start w:val="1"/>
      <w:numFmt w:val="decimal"/>
      <w:lvlText w:val="%1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EBF6E37E">
      <w:numFmt w:val="bullet"/>
      <w:lvlText w:val="•"/>
      <w:lvlJc w:val="left"/>
      <w:pPr>
        <w:ind w:left="994" w:hanging="241"/>
      </w:pPr>
      <w:rPr>
        <w:rFonts w:hint="default"/>
        <w:lang w:val="sq-AL" w:eastAsia="en-US" w:bidi="ar-SA"/>
      </w:rPr>
    </w:lvl>
    <w:lvl w:ilvl="2" w:tplc="031EFDCC">
      <w:numFmt w:val="bullet"/>
      <w:lvlText w:val="•"/>
      <w:lvlJc w:val="left"/>
      <w:pPr>
        <w:ind w:left="1868" w:hanging="241"/>
      </w:pPr>
      <w:rPr>
        <w:rFonts w:hint="default"/>
        <w:lang w:val="sq-AL" w:eastAsia="en-US" w:bidi="ar-SA"/>
      </w:rPr>
    </w:lvl>
    <w:lvl w:ilvl="3" w:tplc="43A0C684">
      <w:numFmt w:val="bullet"/>
      <w:lvlText w:val="•"/>
      <w:lvlJc w:val="left"/>
      <w:pPr>
        <w:ind w:left="2742" w:hanging="241"/>
      </w:pPr>
      <w:rPr>
        <w:rFonts w:hint="default"/>
        <w:lang w:val="sq-AL" w:eastAsia="en-US" w:bidi="ar-SA"/>
      </w:rPr>
    </w:lvl>
    <w:lvl w:ilvl="4" w:tplc="374E3846">
      <w:numFmt w:val="bullet"/>
      <w:lvlText w:val="•"/>
      <w:lvlJc w:val="left"/>
      <w:pPr>
        <w:ind w:left="3616" w:hanging="241"/>
      </w:pPr>
      <w:rPr>
        <w:rFonts w:hint="default"/>
        <w:lang w:val="sq-AL" w:eastAsia="en-US" w:bidi="ar-SA"/>
      </w:rPr>
    </w:lvl>
    <w:lvl w:ilvl="5" w:tplc="580E7D26">
      <w:numFmt w:val="bullet"/>
      <w:lvlText w:val="•"/>
      <w:lvlJc w:val="left"/>
      <w:pPr>
        <w:ind w:left="4490" w:hanging="241"/>
      </w:pPr>
      <w:rPr>
        <w:rFonts w:hint="default"/>
        <w:lang w:val="sq-AL" w:eastAsia="en-US" w:bidi="ar-SA"/>
      </w:rPr>
    </w:lvl>
    <w:lvl w:ilvl="6" w:tplc="A91C27B8">
      <w:numFmt w:val="bullet"/>
      <w:lvlText w:val="•"/>
      <w:lvlJc w:val="left"/>
      <w:pPr>
        <w:ind w:left="5364" w:hanging="241"/>
      </w:pPr>
      <w:rPr>
        <w:rFonts w:hint="default"/>
        <w:lang w:val="sq-AL" w:eastAsia="en-US" w:bidi="ar-SA"/>
      </w:rPr>
    </w:lvl>
    <w:lvl w:ilvl="7" w:tplc="2AE26B9E">
      <w:numFmt w:val="bullet"/>
      <w:lvlText w:val="•"/>
      <w:lvlJc w:val="left"/>
      <w:pPr>
        <w:ind w:left="6238" w:hanging="241"/>
      </w:pPr>
      <w:rPr>
        <w:rFonts w:hint="default"/>
        <w:lang w:val="sq-AL" w:eastAsia="en-US" w:bidi="ar-SA"/>
      </w:rPr>
    </w:lvl>
    <w:lvl w:ilvl="8" w:tplc="26C4A8AA">
      <w:numFmt w:val="bullet"/>
      <w:lvlText w:val="•"/>
      <w:lvlJc w:val="left"/>
      <w:pPr>
        <w:ind w:left="7112" w:hanging="241"/>
      </w:pPr>
      <w:rPr>
        <w:rFonts w:hint="default"/>
        <w:lang w:val="sq-AL" w:eastAsia="en-US" w:bidi="ar-SA"/>
      </w:rPr>
    </w:lvl>
  </w:abstractNum>
  <w:abstractNum w:abstractNumId="3" w15:restartNumberingAfterBreak="0">
    <w:nsid w:val="5DAA7E76"/>
    <w:multiLevelType w:val="hybridMultilevel"/>
    <w:tmpl w:val="9A5C5250"/>
    <w:lvl w:ilvl="0" w:tplc="5F187C4E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60340210">
      <w:numFmt w:val="bullet"/>
      <w:lvlText w:val="•"/>
      <w:lvlJc w:val="left"/>
      <w:pPr>
        <w:ind w:left="1210" w:hanging="241"/>
      </w:pPr>
      <w:rPr>
        <w:rFonts w:hint="default"/>
        <w:lang w:val="sq-AL" w:eastAsia="en-US" w:bidi="ar-SA"/>
      </w:rPr>
    </w:lvl>
    <w:lvl w:ilvl="2" w:tplc="7D046634">
      <w:numFmt w:val="bullet"/>
      <w:lvlText w:val="•"/>
      <w:lvlJc w:val="left"/>
      <w:pPr>
        <w:ind w:left="2060" w:hanging="241"/>
      </w:pPr>
      <w:rPr>
        <w:rFonts w:hint="default"/>
        <w:lang w:val="sq-AL" w:eastAsia="en-US" w:bidi="ar-SA"/>
      </w:rPr>
    </w:lvl>
    <w:lvl w:ilvl="3" w:tplc="3D5C4536">
      <w:numFmt w:val="bullet"/>
      <w:lvlText w:val="•"/>
      <w:lvlJc w:val="left"/>
      <w:pPr>
        <w:ind w:left="2910" w:hanging="241"/>
      </w:pPr>
      <w:rPr>
        <w:rFonts w:hint="default"/>
        <w:lang w:val="sq-AL" w:eastAsia="en-US" w:bidi="ar-SA"/>
      </w:rPr>
    </w:lvl>
    <w:lvl w:ilvl="4" w:tplc="801C2BEE">
      <w:numFmt w:val="bullet"/>
      <w:lvlText w:val="•"/>
      <w:lvlJc w:val="left"/>
      <w:pPr>
        <w:ind w:left="3760" w:hanging="241"/>
      </w:pPr>
      <w:rPr>
        <w:rFonts w:hint="default"/>
        <w:lang w:val="sq-AL" w:eastAsia="en-US" w:bidi="ar-SA"/>
      </w:rPr>
    </w:lvl>
    <w:lvl w:ilvl="5" w:tplc="8DE623B6">
      <w:numFmt w:val="bullet"/>
      <w:lvlText w:val="•"/>
      <w:lvlJc w:val="left"/>
      <w:pPr>
        <w:ind w:left="4610" w:hanging="241"/>
      </w:pPr>
      <w:rPr>
        <w:rFonts w:hint="default"/>
        <w:lang w:val="sq-AL" w:eastAsia="en-US" w:bidi="ar-SA"/>
      </w:rPr>
    </w:lvl>
    <w:lvl w:ilvl="6" w:tplc="6FAA4DA2">
      <w:numFmt w:val="bullet"/>
      <w:lvlText w:val="•"/>
      <w:lvlJc w:val="left"/>
      <w:pPr>
        <w:ind w:left="5460" w:hanging="241"/>
      </w:pPr>
      <w:rPr>
        <w:rFonts w:hint="default"/>
        <w:lang w:val="sq-AL" w:eastAsia="en-US" w:bidi="ar-SA"/>
      </w:rPr>
    </w:lvl>
    <w:lvl w:ilvl="7" w:tplc="95046688">
      <w:numFmt w:val="bullet"/>
      <w:lvlText w:val="•"/>
      <w:lvlJc w:val="left"/>
      <w:pPr>
        <w:ind w:left="6310" w:hanging="241"/>
      </w:pPr>
      <w:rPr>
        <w:rFonts w:hint="default"/>
        <w:lang w:val="sq-AL" w:eastAsia="en-US" w:bidi="ar-SA"/>
      </w:rPr>
    </w:lvl>
    <w:lvl w:ilvl="8" w:tplc="D77C3B2C">
      <w:numFmt w:val="bullet"/>
      <w:lvlText w:val="•"/>
      <w:lvlJc w:val="left"/>
      <w:pPr>
        <w:ind w:left="7160" w:hanging="241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5"/>
    <w:rsid w:val="002E4581"/>
    <w:rsid w:val="00D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E5C6A-7147-4355-BA5C-FD49B744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 disa shtesa dhe ndryshime ne Ligjin NR</vt:lpstr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disa shtesa dhe ndryshime ne Ligjin NR</dc:title>
  <dc:creator>user</dc:creator>
  <cp:lastModifiedBy>User</cp:lastModifiedBy>
  <cp:revision>2</cp:revision>
  <dcterms:created xsi:type="dcterms:W3CDTF">2020-05-22T08:37:00Z</dcterms:created>
  <dcterms:modified xsi:type="dcterms:W3CDTF">2020-05-22T08:37:00Z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2011-01-25T00:00:00Z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2020-05-22T00:00:00Z</vt:filetime>
  </property>
</Properties>
</file>