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LIGJ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Nr. 45/2013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PËR DISA NDRYSHIME DHE SHTESA NË LIGJIN NR. 7643, DATË 2.12.1992 "PËR SHËNDETIN PUBLIK DHE INSPEKTORATIN SANITAR SHTETËROR", TË NDRYSHUAR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Në mbështetje të neneve 78 dhe 83 pika 1 të Kushtetutës, me propozimin e Këshillit të Ministrave,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KUVENDI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 REPUBLIKËS SË SHQIPËRISË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VENDOSI: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Në ligjin nr. </w:t>
      </w:r>
      <w:proofErr w:type="gramStart"/>
      <w:r>
        <w:rPr>
          <w:rFonts w:ascii="Verdana" w:hAnsi="Verdana"/>
          <w:color w:val="000000"/>
          <w:sz w:val="17"/>
          <w:szCs w:val="17"/>
        </w:rPr>
        <w:t>7643</w:t>
      </w:r>
      <w:proofErr w:type="gramEnd"/>
      <w:r>
        <w:rPr>
          <w:rFonts w:ascii="Verdana" w:hAnsi="Verdana"/>
          <w:color w:val="000000"/>
          <w:sz w:val="17"/>
          <w:szCs w:val="17"/>
        </w:rPr>
        <w:t>, datë 2.12.1992 "Për shëndetin publik dhe Inspektoratin Sanitar Shtetëror", të ndryshuar, bëhen këto ndryshime dhe shtesa: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1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Titulli i ligjit bëhet "Për inspektimin sanitar".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2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1. Kudo në ligj, emërtimi "Ministria e Shëndetësisë dhe e Mbrojtjes së Mjedisit" zëvendësohet me emërtimin "Ministria e Shëndetësisë"; emërtimi "Instituti Kërkimor i Higjienës dhe Epidemiologjisë" zëvendësohet me emërtimin "Instituti i Shëndetit Publik" dhe emërtimi "Inspektorati Sanitar Shtetëror" zëvendësohet me </w:t>
      </w:r>
      <w:proofErr w:type="gramStart"/>
      <w:r>
        <w:rPr>
          <w:rFonts w:ascii="Verdana" w:hAnsi="Verdana"/>
          <w:color w:val="000000"/>
          <w:sz w:val="17"/>
          <w:szCs w:val="17"/>
        </w:rPr>
        <w:t>emërtimin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"Inspektorati që mbulon fushën e shëndetit".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3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1 ndryshohet si më poshtë: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"Neni 1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Inspektimi sanitar është veprimtaria që kontrollon përmbushjen e rregullave higjieno-sanitare, me qëllim mbrojtjen e shëndetit të popullatës nga faktorët e dëmshëm për shëndetin dhe pasojat që rrjedhin prej tyre.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4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2 ndryshohet si më poshtë: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"Neni 2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Inspektimi sanitar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Inspektimi sanitar për verifikimin e respektimit të kërkesave ligjore bëhet në përputhje me këtë ligj dhe ligjin nr. 10 433, datë 16.6.2011 "Për inspektimin në Republikën e Shqipërisë" nga inspektorati që mbulon fushën e shëndetit.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5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Në nenin 7, emërtimi "Inspektorati i Mbrojtjes së Mjedisit" zëvendësohet me emërtimin "Inspektorati që mbulon fushën e mbrojtjes së mjedisit".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6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12 ndryshohet si më poshtë: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"Neni 12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Ndërmarrjet, institucionet shtetërore e private dhe personat e tjerë, fizikë e juridikë, </w:t>
      </w:r>
      <w:proofErr w:type="gramStart"/>
      <w:r>
        <w:rPr>
          <w:rFonts w:ascii="Verdana" w:hAnsi="Verdana"/>
          <w:color w:val="000000"/>
          <w:sz w:val="17"/>
          <w:szCs w:val="17"/>
        </w:rPr>
        <w:t>vendas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ose të huaj, për ndërtimin dhe rikonstruksionin e objekteve të ndryshme duhet të bëjnë vetëdeklarimin për plotësimin e kushteve higjieno-shëndetësore në strukturën vendore të shëndetit publik.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Struktura vendore e shëndetit publik, pasi bën ekspertimin higjieno-shëndetësor paraprak, jep akt-miratimin për: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- </w:t>
      </w:r>
      <w:proofErr w:type="gramStart"/>
      <w:r>
        <w:rPr>
          <w:rFonts w:ascii="Verdana" w:hAnsi="Verdana"/>
          <w:color w:val="000000"/>
          <w:sz w:val="17"/>
          <w:szCs w:val="17"/>
        </w:rPr>
        <w:t>miratimin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e sheshit të ndërtimit;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- </w:t>
      </w:r>
      <w:proofErr w:type="gramStart"/>
      <w:r>
        <w:rPr>
          <w:rFonts w:ascii="Verdana" w:hAnsi="Verdana"/>
          <w:color w:val="000000"/>
          <w:sz w:val="17"/>
          <w:szCs w:val="17"/>
        </w:rPr>
        <w:t>miratimin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e projektit ndërtimor, teknologjik, rindërtimit, rikonstruksionit;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- </w:t>
      </w:r>
      <w:proofErr w:type="gramStart"/>
      <w:r>
        <w:rPr>
          <w:rFonts w:ascii="Verdana" w:hAnsi="Verdana"/>
          <w:color w:val="000000"/>
          <w:sz w:val="17"/>
          <w:szCs w:val="17"/>
        </w:rPr>
        <w:t>vënien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në shfrytëzim të objektit.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Kur vërehen shkeljet e sipërpërmendura, inspektorati që mbulon fushën e shëndetit ndalon me vendim fillimin ose vazhdimin e punimeve, duke kërkuar plotësimin e mangësive. Masa e ndalimit të fillimit ose vazhdimit të punimeve, në varësi të rrethanave dhe përcaktimit që bën inspektori përkatës, është dënim plotësues ose masë urgjente. Zbatimi i vendimit sigurohet, kur shihet e nevojshme me ndërhyrjen e organeve të parashikuara në nenin 11 të këtij ligji.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7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21 ndryshohet si më poshtë: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"Neni 21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Strukturat vendore të shëndetit publik kanë për detyrë të pajisin me librezë shëndetësore të gjithë personat që punojnë në objektet e prodhimit, të ruajtjes, transportimit dhe tregtimit të produkteve ushqimore, në ujësjellës, në institucione parashkollore, shkollore e shëndetësore dhe në objektet e shërbimit publik, ku mund të lehtësohet përhapja e sëmundjeve ngjitëse.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Të drejtën e kontrollit për pajisjen me librezë shëndetësore e ka inspektorati që mbulon fushën e shëndetit dhe çdo inspektorat shtetëror tjetër që i jepet kjo kompetencë nga një ligj tjetër i posaçëm.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Lista e profesioneve dhe kategoritë e punonjësve që pajisen me librezë shëndetësore përcaktohen nga Ministri i Shëndetësisë.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8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25 ndryshohet si më poshtë: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"Neni 25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Inspektorët e inspektoratit që mbulon fushën e shëndetit, për kryerjen e detyrave të ngarkuara nga ky ligj, ushtrojnë kontroll në të gjitha objektet e përcaktuara në nenin 10.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9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Neni 27 ndryshohet si më poshtë: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"Neni 27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Për kundërvajtjet administrative sanitare, të parashikuara nga neni 26 i këtij ligji, inspektorati që mbulon fushën e shëndetit vendos dënimin kryesor me gjobë si më poshtë: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 Për shkeljet e parashikuara në pikat 1, 2, 3, 6, 7 dhe 14, masa e gjobës është 500 000 (pesëqind mijë) lekë;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 Për shkeljet e parashikuara në pikat 4, 5 e 8, masa e gjobës është 50 000 (pesëdhjetë mijë) lekë;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 Për shkeljet e parashikuara në pikat 10, 11, 12, 13 e 15, masa e gjobës është 200 000 (dyqind mijë) lekë;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 Për shkeljet e parashikuara në pikat 9, 16, masa e gjobës është 10 000 (dhjetë mijë) lekë.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Për personat e pajisur me librezë shëndetësore, krahas dënimit me gjobë, si dënim plotësues mund të vendoset edhe heqja e librezës shëndetësore nga 3-12 muaj.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Masat, që merren nga inspektorati, sipas neneve 18 dhe 19, në varësi të rrethanave të rastit, mund të </w:t>
      </w:r>
      <w:proofErr w:type="gramStart"/>
      <w:r>
        <w:rPr>
          <w:rFonts w:ascii="Verdana" w:hAnsi="Verdana"/>
          <w:color w:val="000000"/>
          <w:sz w:val="17"/>
          <w:szCs w:val="17"/>
        </w:rPr>
        <w:t>vlerësohen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nga vetë inspektorati si masa urgjente ose dënime plotësuese. Ndërsa masa e pezullimit ose e mbylljes së përkohshme a të përhershme të objektit apo veprimtarisë, sipas nenit 30 të këtij ligji, janë dënime plotësuese. Kur shkeljet administrative sanitare janë me pasoja të rënda për shëndetin e njerëzve, çështja denoncohet për ndjekje penale në organet e prokurorisë.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10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Pas nenit 27 shtohet neni 27/1 me kë të përmbajtje: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"Neni 27/1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Marrja e masave urgjente nga shërbimi epidemiologjik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Në rastet kur organet e kontrollit të shërbimit epidemiologjik, gjatë ushtrimit të detyrës së tyre, konstatojnë shkaqe, të cilat vënë në rrezik jetën, shëndetin apo përbëjnë potencial për përhapjen e sëmundjeve ngjitëse, marrin të gjitha masat urgjente të nevojshme dhe njoftojnë menjëherë inspektoratin që mbulon fushën e shëndetit.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Inspektorët e inspektoratit që mbulon fushën e shëndetit kërkojnë mbështetjen e strukturave të shërbimit epidemiologjik sa herë që vlerësohet e nevojshme për përmbushjen e funksioneve të tyre në lidhje me parandalimin, kufizimin dhe eliminimin e pasojave të dëmshme për shëndetin.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11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28 ndryshohet si më poshtë: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"Neni 28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Ndaj vendimit të inspektoratit mund të bëhet ankim në përputhje me ligjin për inspektimin.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12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Në nenin 31, paragrafët 2 dhe 3 ndryshohen si më poshtë: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"2. Ankimi ndaj kësaj mase bëhet në përputhje me nenin 28 të këtij ligji.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3. Rihapja e veprimtarisë bëhet përsëri me vendim të inspektoratit që mbulon fushën e shëndetit, kur plotësohen kushtet e kërkuara.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13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32 ndryshohet si më poshtë: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"Neni 32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Inspektorati që mbulon fushën e shëndetit ka të drejtë t'u heqë librezën shëndetësore personave që vuajnë ose janë bartës të mikrobeve të sëmundjeve ngjitëse, sipas ligjit për sëmundjet ngjitëse, për aq kohë </w:t>
      </w:r>
      <w:proofErr w:type="gramStart"/>
      <w:r>
        <w:rPr>
          <w:rFonts w:ascii="Verdana" w:hAnsi="Verdana"/>
          <w:color w:val="000000"/>
          <w:sz w:val="17"/>
          <w:szCs w:val="17"/>
        </w:rPr>
        <w:t>sa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këta të mos paraqesin rrezik si përhapës të infeksionit. Masa e heqjes së librezës, në varësi të rrethanave, mund të vlerësohet nga vetë inspektorati si masë urgjente ose dënim plotësues që jepet ndaj subjektit, të cilit i përkasin personat në fjalë.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14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33 ndryshohet si më poshtë: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"Neni 33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Ekzekutimi i vendimeve bëhet sipas legjislacionit në fuqi për kundërvajtjet administrative. Gjobat paguhen nga kundërvajtësi nëpërmjet sistemit bankar dhe derdhen në Buxhetin e Shtetit.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15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Nenet 3, 4, 6, 9, 14, 15, 17, 23, 24 dhe 34 shfuqizohen.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16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Dispozitë kalimtare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Organi ekzistues inspektues vazhdon të ushtrojë funksionin e vet sipas organizimit aktual deri në krijimin e organit të </w:t>
      </w:r>
      <w:proofErr w:type="gramStart"/>
      <w:r>
        <w:rPr>
          <w:rFonts w:ascii="Verdana" w:hAnsi="Verdana"/>
          <w:color w:val="000000"/>
          <w:sz w:val="17"/>
          <w:szCs w:val="17"/>
        </w:rPr>
        <w:t>ri</w:t>
      </w:r>
      <w:proofErr w:type="gramEnd"/>
      <w:r>
        <w:rPr>
          <w:rFonts w:ascii="Verdana" w:hAnsi="Verdana"/>
          <w:color w:val="000000"/>
          <w:sz w:val="17"/>
          <w:szCs w:val="17"/>
        </w:rPr>
        <w:t>, sikurse parashikohet në ndryshimet e bëra në këtë ligj.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Neni 17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color w:val="000000"/>
          <w:sz w:val="17"/>
          <w:szCs w:val="17"/>
        </w:rPr>
        <w:t>Ky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ligj hyn në fuqi 15 ditë pas botimit në Fletoren Zyrtare.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Miratuar në datën 14.2.2013</w:t>
      </w:r>
    </w:p>
    <w:p w:rsidR="006F12C4" w:rsidRDefault="006F12C4" w:rsidP="006F12C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Shpallur me dekretin nr. 8004, datë 1.3.2013 të Presidentit të Republikës së Shqipërisë, Bujar Nishani</w:t>
      </w:r>
    </w:p>
    <w:p w:rsidR="00BF1FC9" w:rsidRPr="006F12C4" w:rsidRDefault="00BF1FC9" w:rsidP="006F12C4">
      <w:bookmarkStart w:id="0" w:name="_GoBack"/>
      <w:bookmarkEnd w:id="0"/>
    </w:p>
    <w:sectPr w:rsidR="00BF1FC9" w:rsidRPr="006F1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3A"/>
    <w:rsid w:val="001E0284"/>
    <w:rsid w:val="0033423A"/>
    <w:rsid w:val="006F12C4"/>
    <w:rsid w:val="00B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E2163-1EE9-411E-9092-F74A5D71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2020-05-22T06:56:00Z</dcterms:created>
  <dcterms:modified xsi:type="dcterms:W3CDTF">2020-05-22T07:00:00Z</dcterms:modified>
</cp:coreProperties>
</file>