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20256">
            <wp:simplePos x="0" y="0"/>
            <wp:positionH relativeFrom="page">
              <wp:posOffset>15241</wp:posOffset>
            </wp:positionH>
            <wp:positionV relativeFrom="page">
              <wp:posOffset>10667</wp:posOffset>
            </wp:positionV>
            <wp:extent cx="7537704" cy="190804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704" cy="1908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480" w:lineRule="auto" w:before="223"/>
        <w:ind w:left="4020" w:right="4023" w:firstLine="314"/>
      </w:pPr>
      <w:r>
        <w:rPr/>
        <w:t>LIGJ Nr. 54/2020</w:t>
      </w:r>
    </w:p>
    <w:p>
      <w:pPr>
        <w:spacing w:before="0"/>
        <w:ind w:left="914" w:right="915" w:firstLine="400"/>
        <w:jc w:val="left"/>
        <w:rPr>
          <w:b/>
          <w:sz w:val="24"/>
        </w:rPr>
      </w:pPr>
      <w:r>
        <w:rPr>
          <w:b/>
          <w:sz w:val="24"/>
        </w:rPr>
        <w:t>PËR DISA NDRYSHIME DHE SHTESA NË LIGJIN NR. 7643, DATË 2.12.1992, “PËR INSPEKTIMIN SANITAR”, TË NDRYSHUAR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00" w:right="122" w:firstLine="340"/>
        <w:jc w:val="both"/>
      </w:pPr>
      <w:r>
        <w:rPr/>
        <w:t>Në mbështetje të neneve 78 dhe 83, pika 1, të Kushtetutës, me propozimin e Këshillit të Ministrave,</w:t>
      </w:r>
    </w:p>
    <w:p>
      <w:pPr>
        <w:pStyle w:val="BodyText"/>
      </w:pPr>
    </w:p>
    <w:p>
      <w:pPr>
        <w:pStyle w:val="BodyText"/>
        <w:ind w:left="2935" w:right="2952"/>
        <w:jc w:val="center"/>
      </w:pPr>
      <w:r>
        <w:rPr/>
        <w:t>K U V E N D I</w:t>
      </w:r>
    </w:p>
    <w:p>
      <w:pPr>
        <w:pStyle w:val="BodyText"/>
      </w:pPr>
    </w:p>
    <w:p>
      <w:pPr>
        <w:pStyle w:val="BodyText"/>
        <w:spacing w:line="480" w:lineRule="auto"/>
        <w:ind w:left="2935" w:right="2958"/>
        <w:jc w:val="center"/>
      </w:pPr>
      <w:r>
        <w:rPr/>
        <w:t>I REPUBLIKËS SË</w:t>
      </w:r>
      <w:r>
        <w:rPr>
          <w:spacing w:val="-14"/>
        </w:rPr>
        <w:t> </w:t>
      </w:r>
      <w:r>
        <w:rPr/>
        <w:t>SHQIPËRISË V E N D O S</w:t>
      </w:r>
      <w:r>
        <w:rPr>
          <w:spacing w:val="-2"/>
        </w:rPr>
        <w:t> </w:t>
      </w:r>
      <w:r>
        <w:rPr/>
        <w:t>I:</w:t>
      </w:r>
    </w:p>
    <w:p>
      <w:pPr>
        <w:pStyle w:val="BodyText"/>
        <w:ind w:left="100" w:right="117" w:firstLine="340"/>
        <w:jc w:val="both"/>
      </w:pPr>
      <w:r>
        <w:rPr/>
        <w:t>Në ligjin nr. 7643, datë 2.12.1992, “Për inspektimin sanitar”, të ndryshuar, bëhen ndryshimet dhe shtesat e mёposhtme:</w:t>
      </w:r>
    </w:p>
    <w:p>
      <w:pPr>
        <w:pStyle w:val="BodyText"/>
        <w:spacing w:before="1"/>
      </w:pPr>
    </w:p>
    <w:p>
      <w:pPr>
        <w:pStyle w:val="BodyText"/>
        <w:ind w:left="4291"/>
      </w:pPr>
      <w:r>
        <w:rPr/>
        <w:t>Neni 1</w:t>
      </w:r>
    </w:p>
    <w:p>
      <w:pPr>
        <w:pStyle w:val="BodyText"/>
      </w:pPr>
    </w:p>
    <w:p>
      <w:pPr>
        <w:pStyle w:val="BodyText"/>
        <w:ind w:left="100" w:right="112" w:firstLine="340"/>
        <w:jc w:val="both"/>
      </w:pPr>
      <w:r>
        <w:rPr/>
        <w:t>Kudo në përmbajtjen e ligjit, fjalët “inspektorati që mbulon fushën e shëndetit” zëvendësohen me fjalёt “struktura përgjegjëse për inspektimin në fushën e shëndetit” dhe fjalёt “Drejtoria e Shëndetit Publik” zëvendësohen me fjalët “Struktura përgjegjëse për shëndetin publik”.</w:t>
      </w:r>
    </w:p>
    <w:p>
      <w:pPr>
        <w:pStyle w:val="BodyText"/>
      </w:pPr>
    </w:p>
    <w:p>
      <w:pPr>
        <w:pStyle w:val="BodyText"/>
        <w:spacing w:line="480" w:lineRule="auto"/>
        <w:ind w:left="441" w:right="4292" w:firstLine="3850"/>
      </w:pPr>
      <w:r>
        <w:rPr/>
        <w:t>Neni 2 Në nenin 1/1, pikat 5 dhe 6 shfuqizohen.</w:t>
      </w:r>
    </w:p>
    <w:p>
      <w:pPr>
        <w:pStyle w:val="BodyText"/>
        <w:spacing w:before="1"/>
        <w:ind w:left="4291"/>
      </w:pPr>
      <w:r>
        <w:rPr/>
        <w:t>Neni 3</w:t>
      </w:r>
    </w:p>
    <w:p>
      <w:pPr>
        <w:pStyle w:val="BodyText"/>
      </w:pPr>
    </w:p>
    <w:p>
      <w:pPr>
        <w:pStyle w:val="BodyText"/>
        <w:ind w:left="441"/>
        <w:jc w:val="both"/>
      </w:pPr>
      <w:r>
        <w:rPr/>
        <w:t>Në nenin 2, pas paragrafit të parë shtohet paragrafi me këtë përmbajtje:</w:t>
      </w:r>
    </w:p>
    <w:p>
      <w:pPr>
        <w:pStyle w:val="BodyText"/>
        <w:ind w:left="100" w:right="113" w:firstLine="340"/>
        <w:jc w:val="both"/>
      </w:pPr>
      <w:r>
        <w:rPr/>
        <w:t>“Bën përjashtim nga ky ligj inspektimi sanitar në fushën e ushqimit dhe ushqimit për kafshë, inspektim i cili do të bëhet nga institucioni përgjegjës për kontrollin zyrtar të ushqimit dhe ushqimit për kafshë.”.</w:t>
      </w:r>
    </w:p>
    <w:p>
      <w:pPr>
        <w:pStyle w:val="BodyText"/>
      </w:pPr>
    </w:p>
    <w:p>
      <w:pPr>
        <w:pStyle w:val="BodyText"/>
        <w:ind w:left="4291"/>
      </w:pPr>
      <w:r>
        <w:rPr/>
        <w:t>Neni 4</w:t>
      </w:r>
    </w:p>
    <w:p>
      <w:pPr>
        <w:pStyle w:val="BodyText"/>
      </w:pPr>
    </w:p>
    <w:p>
      <w:pPr>
        <w:pStyle w:val="BodyText"/>
        <w:ind w:left="441"/>
        <w:jc w:val="both"/>
      </w:pPr>
      <w:r>
        <w:rPr/>
        <w:t>Në nenin 10 bëhen këto ndryshime: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40" w:lineRule="auto" w:before="0" w:after="0"/>
        <w:ind w:left="686" w:right="0" w:hanging="245"/>
        <w:jc w:val="left"/>
        <w:rPr>
          <w:sz w:val="24"/>
        </w:rPr>
      </w:pPr>
      <w:r>
        <w:rPr>
          <w:sz w:val="24"/>
        </w:rPr>
        <w:t>Paragrafi i parë ndryshohet si më</w:t>
      </w:r>
      <w:r>
        <w:rPr>
          <w:spacing w:val="-2"/>
          <w:sz w:val="24"/>
        </w:rPr>
        <w:t> </w:t>
      </w:r>
      <w:r>
        <w:rPr>
          <w:sz w:val="24"/>
        </w:rPr>
        <w:t>poshtë: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0" w:bottom="280" w:left="1340" w:right="1320"/>
        </w:sectPr>
      </w:pPr>
    </w:p>
    <w:p>
      <w:pPr>
        <w:pStyle w:val="BodyText"/>
        <w:spacing w:before="73"/>
        <w:ind w:left="100" w:right="116" w:firstLine="340"/>
        <w:jc w:val="both"/>
      </w:pPr>
      <w:r>
        <w:rPr/>
        <w:t>“Struktura përgjegjëse për inspektimin në fushën e shëndetit është pёrgjegjëse për kontrollin dhe zbatimin e ligjeve e të akteve nënligjore sanitare dhe pajis me akt miratimi higjieno-sanitar subjektet në sektorët publikë dhe jopublikë, sipas përcaktimeve të këtij neni. Marrëdhëniet e punësimit të punonjësve dhe inspektorëve të strukturës përgjegjëse për inspektimin në fushën e shëndetit rregullohen sipas dispozitave të parashikuara në Kodin e Punës.”.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40" w:lineRule="auto" w:before="1" w:after="0"/>
        <w:ind w:left="700" w:right="0" w:hanging="260"/>
        <w:jc w:val="both"/>
        <w:rPr>
          <w:sz w:val="24"/>
        </w:rPr>
      </w:pPr>
      <w:r>
        <w:rPr>
          <w:sz w:val="24"/>
        </w:rPr>
        <w:t>Nënndarja e parë, pas paragrafit të parë, ndryshohet si më</w:t>
      </w:r>
      <w:r>
        <w:rPr>
          <w:spacing w:val="-3"/>
          <w:sz w:val="24"/>
        </w:rPr>
        <w:t> </w:t>
      </w:r>
      <w:r>
        <w:rPr>
          <w:sz w:val="24"/>
        </w:rPr>
        <w:t>poshtë:</w:t>
      </w:r>
    </w:p>
    <w:p>
      <w:pPr>
        <w:pStyle w:val="BodyText"/>
        <w:ind w:left="100" w:right="112" w:firstLine="340"/>
        <w:jc w:val="both"/>
      </w:pPr>
      <w:r>
        <w:rPr/>
        <w:t>“- në objektet e prodhimit, të ruajtjes, të magazinimit, të transportimit e tregtimit të produkteve të të gjitha llojeve, përjashtuar objektet e prodhimit, të ruajtjes, të magazinimit, të transportimit e tregtimit të produkteve ushqimore.”.</w:t>
      </w:r>
    </w:p>
    <w:p>
      <w:pPr>
        <w:pStyle w:val="BodyText"/>
      </w:pPr>
    </w:p>
    <w:p>
      <w:pPr>
        <w:pStyle w:val="BodyText"/>
        <w:ind w:left="2935" w:right="2951"/>
        <w:jc w:val="center"/>
      </w:pPr>
      <w:r>
        <w:rPr/>
        <w:t>Neni 5</w:t>
      </w:r>
    </w:p>
    <w:p>
      <w:pPr>
        <w:pStyle w:val="BodyText"/>
      </w:pPr>
    </w:p>
    <w:p>
      <w:pPr>
        <w:pStyle w:val="BodyText"/>
        <w:spacing w:before="1"/>
        <w:ind w:left="441"/>
      </w:pPr>
      <w:r>
        <w:rPr/>
        <w:t>Neni 12 shfuqizohet.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935" w:right="2951"/>
        <w:jc w:val="center"/>
      </w:pPr>
      <w:r>
        <w:rPr/>
        <w:t>Neni 6</w:t>
      </w:r>
    </w:p>
    <w:p>
      <w:pPr>
        <w:pStyle w:val="BodyText"/>
      </w:pPr>
    </w:p>
    <w:p>
      <w:pPr>
        <w:pStyle w:val="BodyText"/>
        <w:ind w:left="441"/>
      </w:pPr>
      <w:r>
        <w:rPr/>
        <w:t>Në nenin 13 bëhen këto ndryshime:</w:t>
      </w: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0" w:after="0"/>
        <w:ind w:left="100" w:right="115" w:firstLine="340"/>
        <w:jc w:val="left"/>
        <w:rPr>
          <w:sz w:val="24"/>
        </w:rPr>
      </w:pPr>
      <w:r>
        <w:rPr>
          <w:sz w:val="24"/>
        </w:rPr>
        <w:t>Në</w:t>
      </w:r>
      <w:r>
        <w:rPr>
          <w:spacing w:val="-14"/>
          <w:sz w:val="24"/>
        </w:rPr>
        <w:t> </w:t>
      </w:r>
      <w:r>
        <w:rPr>
          <w:sz w:val="24"/>
        </w:rPr>
        <w:t>shkronjën</w:t>
      </w:r>
      <w:r>
        <w:rPr>
          <w:spacing w:val="-9"/>
          <w:sz w:val="24"/>
        </w:rPr>
        <w:t> </w:t>
      </w:r>
      <w:r>
        <w:rPr>
          <w:sz w:val="24"/>
        </w:rPr>
        <w:t>“c”,</w:t>
      </w:r>
      <w:r>
        <w:rPr>
          <w:spacing w:val="-10"/>
          <w:sz w:val="24"/>
        </w:rPr>
        <w:t> </w:t>
      </w:r>
      <w:r>
        <w:rPr>
          <w:sz w:val="24"/>
        </w:rPr>
        <w:t>hiqen</w:t>
      </w:r>
      <w:r>
        <w:rPr>
          <w:spacing w:val="-11"/>
          <w:sz w:val="24"/>
        </w:rPr>
        <w:t> </w:t>
      </w:r>
      <w:r>
        <w:rPr>
          <w:sz w:val="24"/>
        </w:rPr>
        <w:t>fjalët</w:t>
      </w:r>
      <w:r>
        <w:rPr>
          <w:spacing w:val="-12"/>
          <w:sz w:val="24"/>
        </w:rPr>
        <w:t> </w:t>
      </w:r>
      <w:r>
        <w:rPr>
          <w:sz w:val="24"/>
        </w:rPr>
        <w:t>“si</w:t>
      </w:r>
      <w:r>
        <w:rPr>
          <w:spacing w:val="-10"/>
          <w:sz w:val="24"/>
        </w:rPr>
        <w:t> </w:t>
      </w:r>
      <w:r>
        <w:rPr>
          <w:sz w:val="24"/>
        </w:rPr>
        <w:t>dhe</w:t>
      </w:r>
      <w:r>
        <w:rPr>
          <w:spacing w:val="-12"/>
          <w:sz w:val="24"/>
        </w:rPr>
        <w:t> </w:t>
      </w:r>
      <w:r>
        <w:rPr>
          <w:sz w:val="24"/>
        </w:rPr>
        <w:t>analizën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hazardëve</w:t>
      </w:r>
      <w:r>
        <w:rPr>
          <w:spacing w:val="-12"/>
          <w:sz w:val="24"/>
        </w:rPr>
        <w:t> </w:t>
      </w:r>
      <w:r>
        <w:rPr>
          <w:sz w:val="24"/>
        </w:rPr>
        <w:t>dhe</w:t>
      </w:r>
      <w:r>
        <w:rPr>
          <w:spacing w:val="-12"/>
          <w:sz w:val="24"/>
        </w:rPr>
        <w:t> </w:t>
      </w:r>
      <w:r>
        <w:rPr>
          <w:sz w:val="24"/>
        </w:rPr>
        <w:t>kontrollin</w:t>
      </w:r>
      <w:r>
        <w:rPr>
          <w:spacing w:val="-11"/>
          <w:sz w:val="24"/>
        </w:rPr>
        <w:t> </w:t>
      </w:r>
      <w:r>
        <w:rPr>
          <w:sz w:val="24"/>
        </w:rPr>
        <w:t>në</w:t>
      </w:r>
      <w:r>
        <w:rPr>
          <w:spacing w:val="-13"/>
          <w:sz w:val="24"/>
        </w:rPr>
        <w:t> </w:t>
      </w:r>
      <w:r>
        <w:rPr>
          <w:sz w:val="24"/>
        </w:rPr>
        <w:t>pikat</w:t>
      </w:r>
      <w:r>
        <w:rPr>
          <w:spacing w:val="-11"/>
          <w:sz w:val="24"/>
        </w:rPr>
        <w:t> </w:t>
      </w:r>
      <w:r>
        <w:rPr>
          <w:sz w:val="24"/>
        </w:rPr>
        <w:t>kritike në të gjithë zinxhirin për prodhimin e produkteve</w:t>
      </w:r>
      <w:r>
        <w:rPr>
          <w:spacing w:val="-2"/>
          <w:sz w:val="24"/>
        </w:rPr>
        <w:t> </w:t>
      </w:r>
      <w:r>
        <w:rPr>
          <w:sz w:val="24"/>
        </w:rPr>
        <w:t>ushqimore.”.</w:t>
      </w:r>
    </w:p>
    <w:p>
      <w:pPr>
        <w:pStyle w:val="ListParagraph"/>
        <w:numPr>
          <w:ilvl w:val="0"/>
          <w:numId w:val="2"/>
        </w:numPr>
        <w:tabs>
          <w:tab w:pos="701" w:val="left" w:leader="none"/>
        </w:tabs>
        <w:spacing w:line="240" w:lineRule="auto" w:before="0" w:after="0"/>
        <w:ind w:left="700" w:right="0" w:hanging="260"/>
        <w:jc w:val="left"/>
        <w:rPr>
          <w:sz w:val="24"/>
        </w:rPr>
      </w:pPr>
      <w:r>
        <w:rPr>
          <w:sz w:val="24"/>
        </w:rPr>
        <w:t>Shkronja “ç”</w:t>
      </w:r>
      <w:r>
        <w:rPr>
          <w:spacing w:val="-2"/>
          <w:sz w:val="24"/>
        </w:rPr>
        <w:t> </w:t>
      </w:r>
      <w:r>
        <w:rPr>
          <w:sz w:val="24"/>
        </w:rPr>
        <w:t>shfuqizohet.</w:t>
      </w:r>
    </w:p>
    <w:p>
      <w:pPr>
        <w:pStyle w:val="BodyText"/>
      </w:pPr>
    </w:p>
    <w:p>
      <w:pPr>
        <w:pStyle w:val="BodyText"/>
        <w:ind w:left="2935" w:right="2951"/>
        <w:jc w:val="center"/>
      </w:pPr>
      <w:r>
        <w:rPr/>
        <w:t>Neni 7</w:t>
      </w:r>
    </w:p>
    <w:p>
      <w:pPr>
        <w:pStyle w:val="BodyText"/>
      </w:pPr>
    </w:p>
    <w:p>
      <w:pPr>
        <w:pStyle w:val="BodyText"/>
        <w:ind w:left="441"/>
      </w:pPr>
      <w:r>
        <w:rPr/>
        <w:t>Në nenin 16 hiqen fjalët “produkteve ushqimore e të”.</w:t>
      </w:r>
    </w:p>
    <w:p>
      <w:pPr>
        <w:pStyle w:val="BodyText"/>
        <w:spacing w:before="1"/>
      </w:pPr>
    </w:p>
    <w:p>
      <w:pPr>
        <w:pStyle w:val="BodyText"/>
        <w:ind w:left="2935" w:right="2951"/>
        <w:jc w:val="center"/>
      </w:pPr>
      <w:r>
        <w:rPr/>
        <w:t>Neni 8</w:t>
      </w:r>
    </w:p>
    <w:p>
      <w:pPr>
        <w:pStyle w:val="BodyText"/>
      </w:pPr>
    </w:p>
    <w:p>
      <w:pPr>
        <w:pStyle w:val="BodyText"/>
        <w:ind w:left="441"/>
      </w:pPr>
      <w:r>
        <w:rPr/>
        <w:t>Nё nenin 19, nënndarja e parë ndryshohet si më poshtë:</w:t>
      </w:r>
    </w:p>
    <w:p>
      <w:pPr>
        <w:pStyle w:val="BodyText"/>
        <w:ind w:left="100" w:right="120" w:firstLine="340"/>
        <w:jc w:val="both"/>
      </w:pPr>
      <w:r>
        <w:rPr/>
        <w:t>“-</w:t>
      </w:r>
      <w:r>
        <w:rPr>
          <w:spacing w:val="-12"/>
        </w:rPr>
        <w:t> </w:t>
      </w:r>
      <w:r>
        <w:rPr/>
        <w:t>prodhimin,</w:t>
      </w:r>
      <w:r>
        <w:rPr>
          <w:spacing w:val="-10"/>
        </w:rPr>
        <w:t> </w:t>
      </w:r>
      <w:r>
        <w:rPr/>
        <w:t>ruajtjen,</w:t>
      </w:r>
      <w:r>
        <w:rPr>
          <w:spacing w:val="-12"/>
        </w:rPr>
        <w:t> </w:t>
      </w:r>
      <w:r>
        <w:rPr/>
        <w:t>transportimin,</w:t>
      </w:r>
      <w:r>
        <w:rPr>
          <w:spacing w:val="-10"/>
        </w:rPr>
        <w:t> </w:t>
      </w:r>
      <w:r>
        <w:rPr/>
        <w:t>tregtimin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produkteve</w:t>
      </w:r>
      <w:r>
        <w:rPr>
          <w:spacing w:val="-12"/>
        </w:rPr>
        <w:t> </w:t>
      </w:r>
      <w:r>
        <w:rPr/>
        <w:t>kozmetike</w:t>
      </w:r>
      <w:r>
        <w:rPr>
          <w:spacing w:val="-12"/>
        </w:rPr>
        <w:t> </w:t>
      </w:r>
      <w:r>
        <w:rPr/>
        <w:t>në</w:t>
      </w:r>
      <w:r>
        <w:rPr>
          <w:spacing w:val="-11"/>
        </w:rPr>
        <w:t> </w:t>
      </w:r>
      <w:r>
        <w:rPr/>
        <w:t>kundërshtim</w:t>
      </w:r>
      <w:r>
        <w:rPr>
          <w:spacing w:val="-9"/>
        </w:rPr>
        <w:t> </w:t>
      </w:r>
      <w:r>
        <w:rPr/>
        <w:t>me kriteret e përcaktuara në legjislacionin përkatës dhe normat</w:t>
      </w:r>
      <w:r>
        <w:rPr>
          <w:spacing w:val="-7"/>
        </w:rPr>
        <w:t> </w:t>
      </w:r>
      <w:r>
        <w:rPr/>
        <w:t>sanitare.”.</w:t>
      </w:r>
    </w:p>
    <w:p>
      <w:pPr>
        <w:pStyle w:val="BodyText"/>
      </w:pPr>
    </w:p>
    <w:p>
      <w:pPr>
        <w:pStyle w:val="BodyText"/>
        <w:ind w:left="2935" w:right="2951"/>
        <w:jc w:val="center"/>
      </w:pPr>
      <w:r>
        <w:rPr/>
        <w:t>Neni 9</w:t>
      </w:r>
    </w:p>
    <w:p>
      <w:pPr>
        <w:pStyle w:val="BodyText"/>
      </w:pPr>
    </w:p>
    <w:p>
      <w:pPr>
        <w:pStyle w:val="BodyText"/>
        <w:ind w:left="441"/>
      </w:pPr>
      <w:r>
        <w:rPr/>
        <w:t>Neni 20 shfuqizohet.</w:t>
      </w:r>
    </w:p>
    <w:p>
      <w:pPr>
        <w:pStyle w:val="BodyText"/>
        <w:spacing w:line="550" w:lineRule="atLeast" w:before="2"/>
        <w:ind w:left="441" w:right="4232" w:firstLine="3790"/>
      </w:pPr>
      <w:r>
        <w:rPr/>
        <w:t>Neni 10 Në nenin 26 bëhen ndryshimet e mëposhtme:</w:t>
      </w:r>
    </w:p>
    <w:p>
      <w:pPr>
        <w:pStyle w:val="ListParagraph"/>
        <w:numPr>
          <w:ilvl w:val="0"/>
          <w:numId w:val="3"/>
        </w:numPr>
        <w:tabs>
          <w:tab w:pos="686" w:val="left" w:leader="none"/>
        </w:tabs>
        <w:spacing w:line="240" w:lineRule="auto" w:before="3" w:after="0"/>
        <w:ind w:left="686" w:right="0" w:hanging="245"/>
        <w:jc w:val="left"/>
        <w:rPr>
          <w:sz w:val="24"/>
        </w:rPr>
      </w:pPr>
      <w:r>
        <w:rPr>
          <w:sz w:val="24"/>
        </w:rPr>
        <w:t>Pikat 2, 3, 5 dhe 12</w:t>
      </w:r>
      <w:r>
        <w:rPr>
          <w:spacing w:val="-1"/>
          <w:sz w:val="24"/>
        </w:rPr>
        <w:t> </w:t>
      </w:r>
      <w:r>
        <w:rPr>
          <w:sz w:val="24"/>
        </w:rPr>
        <w:t>shfuqizohen.</w:t>
      </w:r>
    </w:p>
    <w:p>
      <w:pPr>
        <w:pStyle w:val="ListParagraph"/>
        <w:numPr>
          <w:ilvl w:val="0"/>
          <w:numId w:val="3"/>
        </w:numPr>
        <w:tabs>
          <w:tab w:pos="702" w:val="left" w:leader="none"/>
        </w:tabs>
        <w:spacing w:line="240" w:lineRule="auto" w:before="0" w:after="0"/>
        <w:ind w:left="701" w:right="0" w:hanging="261"/>
        <w:jc w:val="left"/>
        <w:rPr>
          <w:sz w:val="24"/>
        </w:rPr>
      </w:pPr>
      <w:r>
        <w:rPr>
          <w:sz w:val="24"/>
        </w:rPr>
        <w:t>Pikat 4 e 14 ndryshohen si më</w:t>
      </w:r>
      <w:r>
        <w:rPr>
          <w:spacing w:val="-1"/>
          <w:sz w:val="24"/>
        </w:rPr>
        <w:t> </w:t>
      </w:r>
      <w:r>
        <w:rPr>
          <w:sz w:val="24"/>
        </w:rPr>
        <w:t>poshtë:</w:t>
      </w:r>
    </w:p>
    <w:p>
      <w:pPr>
        <w:pStyle w:val="BodyText"/>
        <w:ind w:left="100" w:right="7" w:firstLine="340"/>
      </w:pPr>
      <w:r>
        <w:rPr/>
        <w:t>“4. Papastërtitë personale e të mjeteve të punës në objektet e përcaktuara në nenin 10 të këtij ligji.</w:t>
      </w:r>
    </w:p>
    <w:p>
      <w:pPr>
        <w:pStyle w:val="BodyText"/>
        <w:ind w:left="100" w:firstLine="340"/>
      </w:pPr>
      <w:r>
        <w:rPr/>
        <w:t>14. Mosmarrja e aktmiratimit prej strukturave përgjegjëse për inspektimin në fushën e shëndetit nga subjektet e përcaktura në nenin 10 të këtij ligji.”.</w:t>
      </w:r>
    </w:p>
    <w:p>
      <w:pPr>
        <w:pStyle w:val="BodyText"/>
        <w:spacing w:line="550" w:lineRule="atLeast" w:before="2"/>
        <w:ind w:left="441" w:right="4232" w:firstLine="3790"/>
      </w:pPr>
      <w:r>
        <w:rPr/>
        <w:t>Neni 11 Në nenin 27 bëhen ndryshimet e mëposhtme:</w:t>
      </w:r>
    </w:p>
    <w:p>
      <w:pPr>
        <w:pStyle w:val="ListParagraph"/>
        <w:numPr>
          <w:ilvl w:val="0"/>
          <w:numId w:val="4"/>
        </w:numPr>
        <w:tabs>
          <w:tab w:pos="686" w:val="left" w:leader="none"/>
        </w:tabs>
        <w:spacing w:line="240" w:lineRule="auto" w:before="2" w:after="0"/>
        <w:ind w:left="686" w:right="0" w:hanging="245"/>
        <w:jc w:val="left"/>
        <w:rPr>
          <w:sz w:val="24"/>
        </w:rPr>
      </w:pPr>
      <w:r>
        <w:rPr>
          <w:sz w:val="24"/>
        </w:rPr>
        <w:t>Në nënndarjen e parë hiqen numrat “2” dhe</w:t>
      </w:r>
      <w:r>
        <w:rPr>
          <w:spacing w:val="-6"/>
          <w:sz w:val="24"/>
        </w:rPr>
        <w:t> </w:t>
      </w:r>
      <w:r>
        <w:rPr>
          <w:sz w:val="24"/>
        </w:rPr>
        <w:t>“3”.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6"/>
          <w:pgSz w:w="11910" w:h="16840"/>
          <w:pgMar w:footer="878" w:header="0" w:top="1340" w:bottom="1060" w:left="1340" w:right="1320"/>
          <w:pgNumType w:start="2"/>
        </w:sectPr>
      </w:pPr>
    </w:p>
    <w:p>
      <w:pPr>
        <w:pStyle w:val="ListParagraph"/>
        <w:numPr>
          <w:ilvl w:val="0"/>
          <w:numId w:val="4"/>
        </w:numPr>
        <w:tabs>
          <w:tab w:pos="701" w:val="left" w:leader="none"/>
        </w:tabs>
        <w:spacing w:line="240" w:lineRule="auto" w:before="73" w:after="0"/>
        <w:ind w:left="700" w:right="0" w:hanging="260"/>
        <w:jc w:val="left"/>
        <w:rPr>
          <w:sz w:val="24"/>
        </w:rPr>
      </w:pPr>
      <w:r>
        <w:rPr>
          <w:sz w:val="24"/>
        </w:rPr>
        <w:t>Në nënndarjen e dytë hiqet numri</w:t>
      </w:r>
      <w:r>
        <w:rPr>
          <w:spacing w:val="-1"/>
          <w:sz w:val="24"/>
        </w:rPr>
        <w:t> </w:t>
      </w:r>
      <w:r>
        <w:rPr>
          <w:sz w:val="24"/>
        </w:rPr>
        <w:t>“12”.</w:t>
      </w:r>
    </w:p>
    <w:p>
      <w:pPr>
        <w:pStyle w:val="ListParagraph"/>
        <w:numPr>
          <w:ilvl w:val="0"/>
          <w:numId w:val="4"/>
        </w:numPr>
        <w:tabs>
          <w:tab w:pos="686" w:val="left" w:leader="none"/>
        </w:tabs>
        <w:spacing w:line="240" w:lineRule="auto" w:before="1" w:after="0"/>
        <w:ind w:left="686" w:right="0" w:hanging="245"/>
        <w:jc w:val="left"/>
        <w:rPr>
          <w:sz w:val="24"/>
        </w:rPr>
      </w:pPr>
      <w:r>
        <w:rPr>
          <w:sz w:val="24"/>
        </w:rPr>
        <w:t>Në nënndarjen e tretë hiqet numri</w:t>
      </w:r>
      <w:r>
        <w:rPr>
          <w:spacing w:val="-1"/>
          <w:sz w:val="24"/>
        </w:rPr>
        <w:t> </w:t>
      </w:r>
      <w:r>
        <w:rPr>
          <w:sz w:val="24"/>
        </w:rPr>
        <w:t>“5”.</w:t>
      </w:r>
    </w:p>
    <w:p>
      <w:pPr>
        <w:pStyle w:val="BodyText"/>
      </w:pPr>
    </w:p>
    <w:p>
      <w:pPr>
        <w:pStyle w:val="BodyText"/>
        <w:ind w:left="2935" w:right="2951"/>
        <w:jc w:val="center"/>
      </w:pPr>
      <w:r>
        <w:rPr/>
        <w:t>Neni 12</w:t>
      </w:r>
    </w:p>
    <w:p>
      <w:pPr>
        <w:pStyle w:val="BodyText"/>
        <w:spacing w:before="4"/>
      </w:pPr>
    </w:p>
    <w:p>
      <w:pPr>
        <w:pStyle w:val="Heading1"/>
        <w:spacing w:before="1"/>
        <w:ind w:left="2935" w:right="2952"/>
        <w:jc w:val="center"/>
      </w:pPr>
      <w:r>
        <w:rPr/>
        <w:t>Hyrja në fuqi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441"/>
      </w:pPr>
      <w:r>
        <w:rPr/>
        <w:t>Ky ligj hyn në fuqi 15 ditë pas botimit në Fletoren Zyrtare.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6562"/>
      </w:pPr>
      <w:r>
        <w:rPr/>
        <w:t>K R Y E T A R I</w:t>
      </w:r>
    </w:p>
    <w:p>
      <w:pPr>
        <w:pStyle w:val="BodyText"/>
        <w:spacing w:before="5"/>
      </w:pPr>
    </w:p>
    <w:p>
      <w:pPr>
        <w:pStyle w:val="Heading1"/>
        <w:ind w:left="6581"/>
      </w:pPr>
      <w:r>
        <w:rPr/>
        <w:t>Gramoz RUÇI</w:t>
      </w: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spacing w:before="90"/>
        <w:ind w:left="100"/>
      </w:pPr>
      <w:r>
        <w:rPr/>
        <w:t>Miratuar nё datёn 30.4.2020</w:t>
      </w:r>
    </w:p>
    <w:sectPr>
      <w:pgSz w:w="11910" w:h="16840"/>
      <w:pgMar w:header="0" w:footer="878" w:top="1340" w:bottom="106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649994pt;margin-top:787.026611pt;width:12pt;height:15.3pt;mso-position-horizontal-relative:page;mso-position-vertical-relative:page;z-index:-157962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686" w:hanging="24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93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249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106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63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19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676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533" w:hanging="245"/>
      </w:pPr>
      <w:rPr>
        <w:rFonts w:hint="default"/>
        <w:lang w:val="sq-AL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686" w:hanging="24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93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249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106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63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19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676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533" w:hanging="245"/>
      </w:pPr>
      <w:rPr>
        <w:rFonts w:hint="default"/>
        <w:lang w:val="sq-AL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0" w:hanging="23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14" w:hanging="23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29" w:hanging="23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43" w:hanging="23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58" w:hanging="23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673" w:hanging="23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587" w:hanging="23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502" w:hanging="23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417" w:hanging="236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86" w:hanging="24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93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249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106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63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19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676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533" w:hanging="245"/>
      </w:pPr>
      <w:rPr>
        <w:rFonts w:hint="default"/>
        <w:lang w:val="sq-A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sq-AL" w:eastAsia="en-US" w:bidi="ar-SA"/>
    </w:rPr>
  </w:style>
  <w:style w:styleId="Heading1" w:type="paragraph">
    <w:name w:val="Heading 1"/>
    <w:basedOn w:val="Normal"/>
    <w:uiPriority w:val="1"/>
    <w:qFormat/>
    <w:pPr>
      <w:ind w:left="91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ind w:left="686" w:hanging="245"/>
    </w:pPr>
    <w:rPr>
      <w:rFonts w:ascii="Times New Roman" w:hAnsi="Times New Roman" w:eastAsia="Times New Roman" w:cs="Times New Roman"/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q-A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 Kola</dc:creator>
  <dc:title>Projektligj</dc:title>
  <dcterms:created xsi:type="dcterms:W3CDTF">2020-05-22T09:55:35Z</dcterms:created>
  <dcterms:modified xsi:type="dcterms:W3CDTF">2020-05-22T09:55:35Z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2020-05-22T00:00:00Z</vt:filetime>
  </property>
</Properties>
</file>