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120"/>
      </w:pPr>
      <w:r>
        <w:rPr/>
        <w:t>LIGJ</w:t>
      </w:r>
    </w:p>
    <w:p>
      <w:pPr>
        <w:pStyle w:val="BodyText"/>
        <w:spacing w:before="3"/>
      </w:pPr>
    </w:p>
    <w:p>
      <w:pPr>
        <w:pStyle w:val="BodyText"/>
        <w:ind w:left="120"/>
      </w:pPr>
      <w:r>
        <w:rPr/>
        <w:t>Nr. 49/2013</w:t>
      </w:r>
    </w:p>
    <w:p>
      <w:pPr>
        <w:pStyle w:val="BodyText"/>
        <w:spacing w:before="4"/>
      </w:pPr>
    </w:p>
    <w:p>
      <w:pPr>
        <w:pStyle w:val="BodyText"/>
        <w:ind w:left="120" w:right="815"/>
      </w:pPr>
      <w:r>
        <w:rPr/>
        <w:t>PËR DISA NDRYSHIME DHE SHTESA NË LIGJIN NR. 9636, DATË 6.11.2006 "PËR MBROJTJEN E SHËNDETIT NGA PRODUKTET E DUHANIT"</w:t>
      </w:r>
    </w:p>
    <w:p>
      <w:pPr>
        <w:pStyle w:val="BodyText"/>
        <w:spacing w:before="3"/>
      </w:pPr>
    </w:p>
    <w:p>
      <w:pPr>
        <w:pStyle w:val="BodyText"/>
        <w:spacing w:before="1"/>
        <w:ind w:left="120" w:right="815"/>
      </w:pPr>
      <w:r>
        <w:rPr/>
        <w:t>Në mbështetje të neneve 78 dhe 83 pika 1 të Kushtetutës, me propozimin e Këshillit</w:t>
      </w:r>
      <w:r>
        <w:rPr>
          <w:spacing w:val="-19"/>
        </w:rPr>
        <w:t> </w:t>
      </w:r>
      <w:r>
        <w:rPr/>
        <w:t>të Ministrave,</w:t>
      </w:r>
    </w:p>
    <w:p>
      <w:pPr>
        <w:pStyle w:val="BodyText"/>
        <w:spacing w:before="4"/>
      </w:pPr>
    </w:p>
    <w:p>
      <w:pPr>
        <w:pStyle w:val="BodyText"/>
        <w:ind w:left="120"/>
      </w:pPr>
      <w:r>
        <w:rPr/>
        <w:t>KUVENDI</w:t>
      </w:r>
    </w:p>
    <w:p>
      <w:pPr>
        <w:pStyle w:val="BodyText"/>
        <w:spacing w:before="5"/>
      </w:pPr>
    </w:p>
    <w:p>
      <w:pPr>
        <w:pStyle w:val="BodyText"/>
        <w:spacing w:line="482" w:lineRule="auto"/>
        <w:ind w:left="120" w:right="6102"/>
      </w:pPr>
      <w:r>
        <w:rPr/>
        <w:t>I REPUBLIKËS SË</w:t>
      </w:r>
      <w:r>
        <w:rPr>
          <w:spacing w:val="-16"/>
        </w:rPr>
        <w:t> </w:t>
      </w:r>
      <w:r>
        <w:rPr/>
        <w:t>SHQIPËRISË VENDOSI:</w:t>
      </w:r>
    </w:p>
    <w:p>
      <w:pPr>
        <w:pStyle w:val="BodyText"/>
        <w:spacing w:before="1"/>
        <w:ind w:left="120" w:right="505"/>
      </w:pPr>
      <w:r>
        <w:rPr/>
        <w:t>Në ligjin nr. 9636, datë 6.11.2006 "Për mbrojtjen e shëndetit nga produktet e duhanit", bëhen këto ndryshime dhe shtesa:</w:t>
      </w:r>
    </w:p>
    <w:p>
      <w:pPr>
        <w:pStyle w:val="BodyText"/>
        <w:spacing w:before="5"/>
      </w:pPr>
    </w:p>
    <w:p>
      <w:pPr>
        <w:pStyle w:val="BodyText"/>
        <w:ind w:left="120"/>
      </w:pPr>
      <w:r>
        <w:rPr/>
        <w:t>Neni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before="4"/>
      </w:pPr>
    </w:p>
    <w:p>
      <w:pPr>
        <w:pStyle w:val="BodyText"/>
        <w:spacing w:line="482" w:lineRule="auto" w:before="1"/>
        <w:ind w:left="120"/>
      </w:pPr>
      <w:r>
        <w:rPr/>
        <w:t>Në të gjithë ligjin, emërtimi "Policia Tatimore" zëvendësohet me emërtimin "Organet</w:t>
      </w:r>
      <w:r>
        <w:rPr>
          <w:spacing w:val="-25"/>
        </w:rPr>
        <w:t> </w:t>
      </w:r>
      <w:r>
        <w:rPr/>
        <w:t>tatimore". Neni 2</w:t>
      </w:r>
    </w:p>
    <w:p>
      <w:pPr>
        <w:pStyle w:val="BodyText"/>
        <w:spacing w:before="1"/>
        <w:ind w:left="120"/>
      </w:pPr>
      <w:r>
        <w:rPr/>
        <w:t>Në nenin 3 bëhen këto ndryshime: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  <w:rPr>
          <w:sz w:val="24"/>
        </w:rPr>
      </w:pPr>
      <w:r>
        <w:rPr>
          <w:sz w:val="24"/>
        </w:rPr>
        <w:t>Pika 12 ndryshohet si më</w:t>
      </w:r>
      <w:r>
        <w:rPr>
          <w:spacing w:val="-2"/>
          <w:sz w:val="24"/>
        </w:rPr>
        <w:t> </w:t>
      </w:r>
      <w:r>
        <w:rPr>
          <w:sz w:val="24"/>
        </w:rPr>
        <w:t>poshtë:</w:t>
      </w:r>
    </w:p>
    <w:p>
      <w:pPr>
        <w:pStyle w:val="BodyText"/>
        <w:spacing w:before="4"/>
      </w:pPr>
    </w:p>
    <w:p>
      <w:pPr>
        <w:pStyle w:val="BodyText"/>
        <w:ind w:left="120"/>
      </w:pPr>
      <w:r>
        <w:rPr/>
        <w:t>"12. "Mjedis publik" është çdo mjedis i hapur për publikun.".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240"/>
        <w:jc w:val="left"/>
        <w:rPr>
          <w:sz w:val="24"/>
        </w:rPr>
      </w:pPr>
      <w:r>
        <w:rPr>
          <w:sz w:val="24"/>
        </w:rPr>
        <w:t>Në fund të pikës 13, fjalët "që frekuentohet gjatë orarit të punës"</w:t>
      </w:r>
      <w:r>
        <w:rPr>
          <w:spacing w:val="-4"/>
          <w:sz w:val="24"/>
        </w:rPr>
        <w:t> </w:t>
      </w:r>
      <w:r>
        <w:rPr>
          <w:sz w:val="24"/>
        </w:rPr>
        <w:t>hiqen.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  <w:rPr>
          <w:sz w:val="24"/>
        </w:rPr>
      </w:pPr>
      <w:r>
        <w:rPr>
          <w:sz w:val="24"/>
        </w:rPr>
        <w:t>Pas pikës 17 shtohet pika 18 me këtë përmbajtje: "18. "Mjedis i mbyllur"</w:t>
      </w:r>
      <w:r>
        <w:rPr>
          <w:spacing w:val="-8"/>
          <w:sz w:val="24"/>
        </w:rPr>
        <w:t> </w:t>
      </w:r>
      <w:r>
        <w:rPr>
          <w:sz w:val="24"/>
        </w:rPr>
        <w:t>është: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368" w:val="left" w:leader="none"/>
        </w:tabs>
        <w:spacing w:line="240" w:lineRule="auto" w:before="0" w:after="0"/>
        <w:ind w:left="120" w:right="216" w:firstLine="0"/>
        <w:jc w:val="left"/>
        <w:rPr>
          <w:sz w:val="24"/>
        </w:rPr>
      </w:pPr>
      <w:r>
        <w:rPr>
          <w:sz w:val="24"/>
        </w:rPr>
        <w:t>një mjedis që ka tavan ose çati, dyer, dritare ose rrugëkalime që mund të jenë të hapura apo</w:t>
      </w:r>
      <w:r>
        <w:rPr>
          <w:spacing w:val="-23"/>
          <w:sz w:val="24"/>
        </w:rPr>
        <w:t> </w:t>
      </w:r>
      <w:r>
        <w:rPr>
          <w:sz w:val="24"/>
        </w:rPr>
        <w:t>të mbyllura dhe është i kufizuar plotësisht me mure të përhershme ose të</w:t>
      </w:r>
      <w:r>
        <w:rPr>
          <w:spacing w:val="-7"/>
          <w:sz w:val="24"/>
        </w:rPr>
        <w:t> </w:t>
      </w:r>
      <w:r>
        <w:rPr>
          <w:sz w:val="24"/>
        </w:rPr>
        <w:t>përkohshme;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120" w:right="109" w:firstLine="0"/>
        <w:jc w:val="left"/>
        <w:rPr>
          <w:sz w:val="24"/>
        </w:rPr>
      </w:pPr>
      <w:r>
        <w:rPr>
          <w:sz w:val="24"/>
        </w:rPr>
        <w:t>një mjedis, që ka tavan ose çati, dyer, dritare ose rrugëkalime që mund të jenë të hapura apo të mbyllura dhe është i kufizuar me mure të përhershme ose të përkohshme, muret e të cilit kanë hapje të përhershme, që nuk mund të hapen apo të mbyllen, me sipërfaqe më pak se 50 për qind</w:t>
      </w:r>
      <w:r>
        <w:rPr>
          <w:spacing w:val="-15"/>
          <w:sz w:val="24"/>
        </w:rPr>
        <w:t> </w:t>
      </w:r>
      <w:r>
        <w:rPr>
          <w:sz w:val="24"/>
        </w:rPr>
        <w:t>e sipërfaqes së përgjithshme të mureve.".</w:t>
      </w:r>
    </w:p>
    <w:p>
      <w:pPr>
        <w:pStyle w:val="BodyText"/>
        <w:spacing w:before="6"/>
      </w:pPr>
    </w:p>
    <w:p>
      <w:pPr>
        <w:pStyle w:val="BodyText"/>
        <w:spacing w:before="1"/>
        <w:ind w:left="120"/>
      </w:pPr>
      <w:r>
        <w:rPr/>
        <w:t>Neni 3</w:t>
      </w:r>
    </w:p>
    <w:p>
      <w:pPr>
        <w:pStyle w:val="BodyText"/>
        <w:spacing w:before="3"/>
      </w:pPr>
    </w:p>
    <w:p>
      <w:pPr>
        <w:pStyle w:val="BodyText"/>
        <w:ind w:left="120"/>
      </w:pPr>
      <w:r>
        <w:rPr/>
        <w:t>Në nenin 4 bëhen këto ndryshime:</w:t>
      </w:r>
    </w:p>
    <w:p>
      <w:pPr>
        <w:spacing w:after="0"/>
        <w:sectPr>
          <w:type w:val="continuous"/>
          <w:pgSz w:w="12240" w:h="15840"/>
          <w:pgMar w:top="1360" w:bottom="280" w:left="1320" w:right="1340"/>
        </w:sectPr>
      </w:pP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78" w:after="0"/>
        <w:ind w:left="360" w:right="0" w:hanging="240"/>
        <w:jc w:val="left"/>
        <w:rPr>
          <w:sz w:val="24"/>
        </w:rPr>
      </w:pPr>
      <w:r>
        <w:rPr>
          <w:sz w:val="24"/>
        </w:rPr>
        <w:t>Në paragrafin e parë, pas fjalës "paralajmëruese" shtohen fjalët "në tekst dhe/ose në</w:t>
      </w:r>
      <w:r>
        <w:rPr>
          <w:spacing w:val="-16"/>
          <w:sz w:val="24"/>
        </w:rPr>
        <w:t> </w:t>
      </w:r>
      <w:r>
        <w:rPr>
          <w:sz w:val="24"/>
        </w:rPr>
        <w:t>figurë".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  <w:rPr>
          <w:sz w:val="24"/>
        </w:rPr>
      </w:pPr>
      <w:r>
        <w:rPr>
          <w:sz w:val="24"/>
        </w:rPr>
        <w:t>Në paragrafin e fundit, fjala "teksti" zëvendësohet me fjalën</w:t>
      </w:r>
      <w:r>
        <w:rPr>
          <w:spacing w:val="-4"/>
          <w:sz w:val="24"/>
        </w:rPr>
        <w:t> </w:t>
      </w:r>
      <w:r>
        <w:rPr>
          <w:sz w:val="24"/>
        </w:rPr>
        <w:t>"përmbajtje".</w:t>
      </w:r>
    </w:p>
    <w:p>
      <w:pPr>
        <w:pStyle w:val="BodyText"/>
        <w:spacing w:before="5"/>
      </w:pPr>
    </w:p>
    <w:p>
      <w:pPr>
        <w:pStyle w:val="BodyText"/>
        <w:ind w:left="120"/>
      </w:pPr>
      <w:r>
        <w:rPr/>
        <w:t>Neni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before="4"/>
      </w:pPr>
    </w:p>
    <w:p>
      <w:pPr>
        <w:pStyle w:val="BodyText"/>
        <w:spacing w:line="482" w:lineRule="auto"/>
        <w:ind w:left="119" w:right="184"/>
      </w:pPr>
      <w:r>
        <w:rPr/>
        <w:t>Në nenin 15, shkronja "dh" ndryshohet si më poshtë: "dh) Mjedise të tjera publike të mbyllura.". Neni 5</w:t>
      </w:r>
    </w:p>
    <w:p>
      <w:pPr>
        <w:pStyle w:val="BodyText"/>
        <w:spacing w:before="3"/>
        <w:ind w:left="119"/>
      </w:pPr>
      <w:r>
        <w:rPr/>
        <w:t>Në fund të nenit 16 shtohet një fjali me këtë përmbajtje:</w:t>
      </w:r>
    </w:p>
    <w:p>
      <w:pPr>
        <w:pStyle w:val="BodyText"/>
        <w:spacing w:before="3"/>
      </w:pPr>
    </w:p>
    <w:p>
      <w:pPr>
        <w:pStyle w:val="BodyText"/>
        <w:spacing w:line="482" w:lineRule="auto"/>
        <w:ind w:left="119" w:right="1847"/>
      </w:pPr>
      <w:r>
        <w:rPr/>
        <w:t>"Forma dhe teksti i shenjave paralajmëruese përcaktohen nga KNMSHPD-ja.". Neni 6</w:t>
      </w:r>
    </w:p>
    <w:p>
      <w:pPr>
        <w:pStyle w:val="BodyText"/>
        <w:spacing w:before="3"/>
        <w:ind w:left="119"/>
      </w:pPr>
      <w:r>
        <w:rPr/>
        <w:t>Në nenin 19 bëhen këto ndryshime: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0" w:lineRule="auto" w:before="0" w:after="0"/>
        <w:ind w:left="119" w:right="888" w:firstLine="0"/>
        <w:jc w:val="left"/>
        <w:rPr>
          <w:sz w:val="24"/>
        </w:rPr>
      </w:pPr>
      <w:r>
        <w:rPr>
          <w:sz w:val="24"/>
        </w:rPr>
        <w:t>Emërtimi "Inspektorati Sanitar Shtetëror" zëvendësohet me emërtimin "Inspektorati</w:t>
      </w:r>
      <w:r>
        <w:rPr>
          <w:spacing w:val="-25"/>
          <w:sz w:val="24"/>
        </w:rPr>
        <w:t> </w:t>
      </w:r>
      <w:r>
        <w:rPr>
          <w:sz w:val="24"/>
        </w:rPr>
        <w:t>që mbulon fushën e</w:t>
      </w:r>
      <w:r>
        <w:rPr>
          <w:spacing w:val="-1"/>
          <w:sz w:val="24"/>
        </w:rPr>
        <w:t> </w:t>
      </w:r>
      <w:r>
        <w:rPr>
          <w:sz w:val="24"/>
        </w:rPr>
        <w:t>shëndetit".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0" w:lineRule="auto" w:before="0" w:after="0"/>
        <w:ind w:left="360" w:right="0" w:hanging="241"/>
        <w:jc w:val="left"/>
        <w:rPr>
          <w:sz w:val="24"/>
        </w:rPr>
      </w:pPr>
      <w:r>
        <w:rPr>
          <w:sz w:val="24"/>
        </w:rPr>
        <w:t>Pas paragrafit të fundit shtohet një paragraf me këtë</w:t>
      </w:r>
      <w:r>
        <w:rPr>
          <w:spacing w:val="-3"/>
          <w:sz w:val="24"/>
        </w:rPr>
        <w:t> </w:t>
      </w:r>
      <w:r>
        <w:rPr>
          <w:sz w:val="24"/>
        </w:rPr>
        <w:t>përmbajtje:</w:t>
      </w:r>
    </w:p>
    <w:p>
      <w:pPr>
        <w:pStyle w:val="BodyText"/>
        <w:spacing w:before="2"/>
      </w:pPr>
    </w:p>
    <w:p>
      <w:pPr>
        <w:pStyle w:val="BodyText"/>
        <w:ind w:left="119" w:right="128"/>
        <w:jc w:val="both"/>
      </w:pPr>
      <w:r>
        <w:rPr/>
        <w:t>"Organet e kontrollit, sipas përcaktimit të këtij neni, bëjnë verifikimin e respektimit të kërkesave ligjore që burojnë nga ky ligj, në përputhje me këtë ligj dhe ligjin nr. 10 433, datë 16.6.2011 "Për inspektimin në Republikën e Shqipërisë".".</w:t>
      </w:r>
    </w:p>
    <w:p>
      <w:pPr>
        <w:pStyle w:val="BodyText"/>
        <w:spacing w:before="6"/>
      </w:pPr>
    </w:p>
    <w:p>
      <w:pPr>
        <w:pStyle w:val="BodyText"/>
        <w:ind w:left="119"/>
        <w:jc w:val="both"/>
      </w:pPr>
      <w:r>
        <w:rPr/>
        <w:t>Neni 7</w:t>
      </w:r>
    </w:p>
    <w:p>
      <w:pPr>
        <w:pStyle w:val="BodyText"/>
        <w:spacing w:before="4"/>
      </w:pPr>
    </w:p>
    <w:p>
      <w:pPr>
        <w:pStyle w:val="BodyText"/>
        <w:ind w:left="119"/>
        <w:jc w:val="both"/>
      </w:pPr>
      <w:r>
        <w:rPr/>
        <w:t>Në nenin 20 bëhen këto ndryshime dhe shtesa: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1" w:after="0"/>
        <w:ind w:left="360" w:right="0" w:hanging="241"/>
        <w:jc w:val="left"/>
        <w:rPr>
          <w:sz w:val="24"/>
        </w:rPr>
      </w:pPr>
      <w:r>
        <w:rPr>
          <w:sz w:val="24"/>
        </w:rPr>
        <w:t>Shkronjat "c" dhe "ë" ndryshohen si më</w:t>
      </w:r>
      <w:r>
        <w:rPr>
          <w:spacing w:val="-6"/>
          <w:sz w:val="24"/>
        </w:rPr>
        <w:t> </w:t>
      </w:r>
      <w:r>
        <w:rPr>
          <w:sz w:val="24"/>
        </w:rPr>
        <w:t>poshtë:</w:t>
      </w:r>
    </w:p>
    <w:p>
      <w:pPr>
        <w:pStyle w:val="BodyText"/>
        <w:spacing w:before="3"/>
      </w:pPr>
    </w:p>
    <w:p>
      <w:pPr>
        <w:pStyle w:val="BodyText"/>
        <w:ind w:left="119" w:right="163"/>
        <w:jc w:val="both"/>
      </w:pPr>
      <w:r>
        <w:rPr/>
        <w:t>"c) shkelja e nenit 10 dënohet me konfiskim të produkteve të duhanit dhe 100 000 (njëqind mijë) lekë gjobë, sipas rastit, subjektit shitës me pakicë ose pronar i veprimtarisë së parashikuar;</w:t>
      </w:r>
    </w:p>
    <w:p>
      <w:pPr>
        <w:pStyle w:val="BodyText"/>
        <w:spacing w:before="4"/>
      </w:pPr>
    </w:p>
    <w:p>
      <w:pPr>
        <w:pStyle w:val="BodyText"/>
        <w:ind w:left="119" w:right="404"/>
      </w:pPr>
      <w:r>
        <w:rPr/>
        <w:t>ë) mospërmbushja e detyrimeve të parashikuara në nenet 15 dhe 16 nga pronari/administratori apo personi i caktuar përgjegjës prej tyre dënohet me 50 000 (pesëdhjetë mijë) lekë gjobë për pronarin/administratorin e mjediseve apo personin e caktuar prej tyre.".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60" w:right="0" w:hanging="241"/>
        <w:jc w:val="left"/>
        <w:rPr>
          <w:sz w:val="24"/>
        </w:rPr>
      </w:pPr>
      <w:r>
        <w:rPr>
          <w:sz w:val="24"/>
        </w:rPr>
        <w:t>Pas shkronjës "ë" shtohet një paragraf me këtë</w:t>
      </w:r>
      <w:r>
        <w:rPr>
          <w:spacing w:val="-3"/>
          <w:sz w:val="24"/>
        </w:rPr>
        <w:t> </w:t>
      </w:r>
      <w:r>
        <w:rPr>
          <w:sz w:val="24"/>
        </w:rPr>
        <w:t>përmbajtje:</w:t>
      </w:r>
    </w:p>
    <w:p>
      <w:pPr>
        <w:pStyle w:val="BodyText"/>
        <w:spacing w:before="3"/>
      </w:pPr>
    </w:p>
    <w:p>
      <w:pPr>
        <w:pStyle w:val="BodyText"/>
        <w:ind w:left="119" w:right="150"/>
      </w:pPr>
      <w:r>
        <w:rPr/>
        <w:t>"Masa e konfiskimit dhe asgjësimit janë dënime kryesore, ndërsa masa e gjobës është dënim kryesor kur parashikohet si dënim më vete dhe dënim plotësues kur jepet njëkohësisht me masën e konfiskimit ose asgjësimit.".</w:t>
      </w:r>
    </w:p>
    <w:p>
      <w:pPr>
        <w:spacing w:after="0"/>
        <w:sectPr>
          <w:pgSz w:w="12240" w:h="15840"/>
          <w:pgMar w:top="1360" w:bottom="280" w:left="1320" w:right="1340"/>
        </w:sectPr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78" w:after="0"/>
        <w:ind w:left="360" w:right="0" w:hanging="240"/>
        <w:jc w:val="left"/>
        <w:rPr>
          <w:sz w:val="24"/>
        </w:rPr>
      </w:pPr>
      <w:r>
        <w:rPr>
          <w:sz w:val="24"/>
        </w:rPr>
        <w:t>Paragrafi i fundit ndryshohet si më</w:t>
      </w:r>
      <w:r>
        <w:rPr>
          <w:spacing w:val="-2"/>
          <w:sz w:val="24"/>
        </w:rPr>
        <w:t> </w:t>
      </w:r>
      <w:r>
        <w:rPr>
          <w:sz w:val="24"/>
        </w:rPr>
        <w:t>poshtë:</w:t>
      </w:r>
    </w:p>
    <w:p>
      <w:pPr>
        <w:pStyle w:val="BodyText"/>
        <w:spacing w:before="2"/>
      </w:pPr>
    </w:p>
    <w:p>
      <w:pPr>
        <w:pStyle w:val="BodyText"/>
        <w:ind w:left="119" w:right="296"/>
      </w:pPr>
      <w:r>
        <w:rPr/>
        <w:t>"Ankimi ndaj vendimeve të inspektoratit që mbulon fushën e shëndetit bëhet në përputhje me ligjin për inspektimin, ndërsa ankimi ndaj organeve tatimore, doganore, Policisë Bashkiake ose të komunës bëhet sipas legjislacionit në fuqi.".</w:t>
      </w:r>
    </w:p>
    <w:p>
      <w:pPr>
        <w:pStyle w:val="BodyText"/>
        <w:spacing w:before="6"/>
      </w:pPr>
    </w:p>
    <w:p>
      <w:pPr>
        <w:pStyle w:val="BodyText"/>
        <w:ind w:left="119"/>
      </w:pPr>
      <w:r>
        <w:rPr/>
        <w:t>Neni 8</w:t>
      </w:r>
    </w:p>
    <w:p>
      <w:pPr>
        <w:pStyle w:val="BodyText"/>
        <w:spacing w:before="4"/>
      </w:pPr>
    </w:p>
    <w:p>
      <w:pPr>
        <w:pStyle w:val="BodyText"/>
        <w:ind w:left="119"/>
      </w:pPr>
      <w:r>
        <w:rPr/>
        <w:t>Dispozitë kalimtare</w:t>
      </w:r>
    </w:p>
    <w:p>
      <w:pPr>
        <w:pStyle w:val="BodyText"/>
        <w:spacing w:before="2"/>
      </w:pPr>
    </w:p>
    <w:p>
      <w:pPr>
        <w:pStyle w:val="BodyText"/>
        <w:ind w:left="119" w:right="143"/>
      </w:pPr>
      <w:r>
        <w:rPr/>
        <w:t>Organi ekzistues inspektues vazhdon të ushtrojë funksionin e vet sipas organizimit aktual deri në krijimin e organit të ri, sikurse parashikohet në ndryshimet e bëra në këtë ligj.</w:t>
      </w:r>
    </w:p>
    <w:p>
      <w:pPr>
        <w:pStyle w:val="BodyText"/>
        <w:spacing w:before="6"/>
      </w:pPr>
    </w:p>
    <w:p>
      <w:pPr>
        <w:pStyle w:val="BodyText"/>
        <w:ind w:left="120"/>
      </w:pPr>
      <w:r>
        <w:rPr/>
        <w:t>Neni 9</w:t>
      </w:r>
    </w:p>
    <w:p>
      <w:pPr>
        <w:pStyle w:val="BodyText"/>
        <w:spacing w:before="4"/>
      </w:pPr>
    </w:p>
    <w:p>
      <w:pPr>
        <w:pStyle w:val="BodyText"/>
        <w:spacing w:line="482" w:lineRule="auto"/>
        <w:ind w:left="120" w:right="3787"/>
      </w:pPr>
      <w:r>
        <w:rPr/>
        <w:t>Ky ligj hyn në fuqi 15 ditë pas botimit në Fletoren Zyrtare. Miratuar në datën 14.2.2013</w:t>
      </w:r>
    </w:p>
    <w:p>
      <w:pPr>
        <w:pStyle w:val="BodyText"/>
        <w:spacing w:before="1"/>
        <w:ind w:left="120" w:right="468"/>
      </w:pPr>
      <w:r>
        <w:rPr/>
        <w:t>Shpallur me dekretin nr. 8008, datë 1.3.2013 të Presidentit të Republikës së Shqipërisë, Bujar Nishani</w:t>
      </w:r>
    </w:p>
    <w:sectPr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82" w:hanging="24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04" w:hanging="24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26" w:hanging="24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48" w:hanging="24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70" w:hanging="24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92" w:hanging="24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14" w:hanging="24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36" w:hanging="240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66" w:hanging="24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12" w:hanging="24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58" w:hanging="24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04" w:hanging="24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50" w:hanging="24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96" w:hanging="24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42" w:hanging="24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88" w:hanging="240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82" w:hanging="24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04" w:hanging="24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26" w:hanging="24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48" w:hanging="24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70" w:hanging="24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92" w:hanging="24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14" w:hanging="24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36" w:hanging="240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20" w:hanging="24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66" w:hanging="2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12" w:hanging="2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58" w:hanging="2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04" w:hanging="2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50" w:hanging="2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96" w:hanging="2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42" w:hanging="2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88" w:hanging="248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82" w:hanging="24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04" w:hanging="24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26" w:hanging="24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48" w:hanging="24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70" w:hanging="24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92" w:hanging="24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14" w:hanging="24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36" w:hanging="240"/>
      </w:pPr>
      <w:rPr>
        <w:rFonts w:hint="default"/>
        <w:lang w:val="sq-AL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240"/>
    </w:pPr>
    <w:rPr>
      <w:rFonts w:ascii="Times New Roman" w:hAnsi="Times New Roman" w:eastAsia="Times New Roman" w:cs="Times New Roman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Eltar.Deda</dc:creator>
  <dcterms:created xsi:type="dcterms:W3CDTF">2020-05-22T08:41:21Z</dcterms:created>
  <dcterms:modified xsi:type="dcterms:W3CDTF">2020-05-22T08:41:21Z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2020-05-22T00:00:00Z</vt:filetime>
  </property>
</Properties>
</file>